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7" w:rsidRDefault="006A07B4" w:rsidP="006A07B4">
      <w:pPr>
        <w:jc w:val="center"/>
        <w:rPr>
          <w:b/>
        </w:rPr>
      </w:pPr>
      <w:r w:rsidRPr="006A07B4">
        <w:rPr>
          <w:b/>
        </w:rPr>
        <w:t>Compliance in Banking</w:t>
      </w:r>
    </w:p>
    <w:tbl>
      <w:tblPr>
        <w:tblStyle w:val="TableGrid"/>
        <w:tblW w:w="0" w:type="auto"/>
        <w:tblLook w:val="04A0" w:firstRow="1" w:lastRow="0" w:firstColumn="1" w:lastColumn="0" w:noHBand="0" w:noVBand="1"/>
      </w:tblPr>
      <w:tblGrid>
        <w:gridCol w:w="846"/>
        <w:gridCol w:w="8170"/>
      </w:tblGrid>
      <w:tr w:rsidR="00CB6DAF" w:rsidTr="00CB6DAF">
        <w:tc>
          <w:tcPr>
            <w:tcW w:w="846" w:type="dxa"/>
          </w:tcPr>
          <w:p w:rsidR="00CB6DAF" w:rsidRDefault="00CB6DAF" w:rsidP="00CB6DAF">
            <w:pPr>
              <w:jc w:val="center"/>
              <w:rPr>
                <w:b/>
              </w:rPr>
            </w:pPr>
            <w:proofErr w:type="spellStart"/>
            <w:r>
              <w:rPr>
                <w:b/>
              </w:rPr>
              <w:t>S.No</w:t>
            </w:r>
            <w:proofErr w:type="spellEnd"/>
            <w:r>
              <w:rPr>
                <w:b/>
              </w:rPr>
              <w:t>.</w:t>
            </w:r>
          </w:p>
        </w:tc>
        <w:tc>
          <w:tcPr>
            <w:tcW w:w="8170" w:type="dxa"/>
          </w:tcPr>
          <w:p w:rsidR="00CB6DAF" w:rsidRDefault="00CB6DAF" w:rsidP="00CB6DAF">
            <w:pPr>
              <w:jc w:val="center"/>
              <w:rPr>
                <w:b/>
              </w:rPr>
            </w:pPr>
            <w:r>
              <w:rPr>
                <w:b/>
              </w:rPr>
              <w:t>RBI Notification</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6A07B4">
            <w:pPr>
              <w:jc w:val="both"/>
              <w:rPr>
                <w:rFonts w:ascii="Arial" w:hAnsi="Arial" w:cs="Arial"/>
                <w:sz w:val="20"/>
                <w:szCs w:val="20"/>
              </w:rPr>
            </w:pPr>
            <w:r w:rsidRPr="00CB6DAF">
              <w:rPr>
                <w:rFonts w:ascii="Arial" w:hAnsi="Arial" w:cs="Arial"/>
                <w:sz w:val="20"/>
                <w:szCs w:val="20"/>
              </w:rPr>
              <w:t>Provisioning Requirement for Investment in Security Receipts (SRs)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6A07B4">
            <w:pPr>
              <w:jc w:val="both"/>
              <w:rPr>
                <w:rFonts w:ascii="Arial" w:hAnsi="Arial" w:cs="Arial"/>
                <w:sz w:val="20"/>
                <w:szCs w:val="20"/>
              </w:rPr>
            </w:pPr>
            <w:r w:rsidRPr="00CB6DAF">
              <w:rPr>
                <w:rFonts w:ascii="Arial" w:hAnsi="Arial" w:cs="Arial"/>
                <w:sz w:val="20"/>
                <w:szCs w:val="20"/>
              </w:rPr>
              <w:t>Extension of timeline for implementation of certain provisions of Master Direction – Credit Card and Debit Card – Issuance and Conduct Directions, 2022</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6A07B4">
            <w:pPr>
              <w:jc w:val="both"/>
              <w:rPr>
                <w:rFonts w:ascii="Arial" w:hAnsi="Arial" w:cs="Arial"/>
                <w:sz w:val="20"/>
                <w:szCs w:val="20"/>
              </w:rPr>
            </w:pPr>
            <w:r w:rsidRPr="00CB6DAF">
              <w:rPr>
                <w:rFonts w:ascii="Arial" w:hAnsi="Arial" w:cs="Arial"/>
                <w:sz w:val="20"/>
                <w:szCs w:val="20"/>
              </w:rPr>
              <w:t>Section 23 of the Banking Regulation Act, 1949 – Doorstep Banking</w:t>
            </w:r>
          </w:p>
        </w:tc>
      </w:tr>
      <w:tr w:rsidR="00CB6DAF" w:rsidTr="005071C9">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 xml:space="preserve">Bharat Bill Payment </w:t>
            </w:r>
            <w:proofErr w:type="spellStart"/>
            <w:r w:rsidRPr="00CB6DAF">
              <w:rPr>
                <w:rFonts w:ascii="Arial" w:hAnsi="Arial" w:cs="Arial"/>
                <w:color w:val="000000"/>
                <w:sz w:val="20"/>
                <w:szCs w:val="20"/>
              </w:rPr>
              <w:t>SYstem</w:t>
            </w:r>
            <w:proofErr w:type="spellEnd"/>
            <w:r w:rsidRPr="00CB6DAF">
              <w:rPr>
                <w:rFonts w:ascii="Arial" w:hAnsi="Arial" w:cs="Arial"/>
                <w:color w:val="000000"/>
                <w:sz w:val="20"/>
                <w:szCs w:val="20"/>
              </w:rPr>
              <w:t xml:space="preserve"> – Amendment to guidelines</w:t>
            </w:r>
          </w:p>
        </w:tc>
      </w:tr>
      <w:tr w:rsidR="00CB6DAF" w:rsidTr="005071C9">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 xml:space="preserve">Guidelines on import of gold by Qualified Jewellers as notified by – The International Financial Services </w:t>
            </w:r>
            <w:proofErr w:type="spellStart"/>
            <w:r w:rsidRPr="00CB6DAF">
              <w:rPr>
                <w:rFonts w:ascii="Arial" w:hAnsi="Arial" w:cs="Arial"/>
                <w:color w:val="000000"/>
                <w:sz w:val="20"/>
                <w:szCs w:val="20"/>
              </w:rPr>
              <w:t>Centers</w:t>
            </w:r>
            <w:proofErr w:type="spellEnd"/>
            <w:r w:rsidRPr="00CB6DAF">
              <w:rPr>
                <w:rFonts w:ascii="Arial" w:hAnsi="Arial" w:cs="Arial"/>
                <w:color w:val="000000"/>
                <w:sz w:val="20"/>
                <w:szCs w:val="20"/>
              </w:rPr>
              <w:t xml:space="preserve"> Authority (IFSCA)</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Reserve Bank of India (Financial Statements - Presentation and Disclosures) Directions, 2021 - Reporting of reverse repos with Reserve Bank on the bank’s balance sheet</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Guidelines on Compensation of Key Managerial Personnel (KMP) and Senior Management in NBFCs</w:t>
            </w:r>
          </w:p>
        </w:tc>
      </w:tr>
      <w:tr w:rsidR="00CB6DAF" w:rsidTr="00B921C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Legal Entity Identifier (LEI) for Borrowers</w:t>
            </w:r>
          </w:p>
        </w:tc>
      </w:tr>
      <w:tr w:rsidR="00CB6DAF" w:rsidTr="00B921C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 Credit Card and Debit Card – Issuance and Conduct Directions, 2022</w:t>
            </w:r>
          </w:p>
        </w:tc>
      </w:tr>
      <w:tr w:rsidR="00CB6DAF" w:rsidTr="00B921C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Creation of Honorary Designations at Board level in Urban Co-operative Banks</w:t>
            </w:r>
          </w:p>
        </w:tc>
      </w:tr>
      <w:tr w:rsidR="00CB6DAF" w:rsidTr="00B21D6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Issue and regulation of share capital and securities - State Co-operative Banks and District Central Co-operative Banks</w:t>
            </w:r>
          </w:p>
        </w:tc>
      </w:tr>
      <w:tr w:rsidR="00CB6DAF" w:rsidTr="00B21D6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Scale Based Regulation (SBR) for NBFCs: Capital requirements for Non-Banking Finance Companies – Upper Layer (NBFC-UL)</w:t>
            </w:r>
          </w:p>
        </w:tc>
      </w:tr>
      <w:tr w:rsidR="00CB6DAF" w:rsidTr="00191B2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Loans and Advances – Regulatory Restrictions – NBFCs</w:t>
            </w:r>
          </w:p>
        </w:tc>
      </w:tr>
      <w:tr w:rsidR="00CB6DAF" w:rsidTr="00191B2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Consolidated Circular on Opening of Current Accounts and CC/OD Accounts by Banks</w:t>
            </w:r>
          </w:p>
        </w:tc>
      </w:tr>
      <w:tr w:rsidR="00CB6DAF" w:rsidTr="00191B2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Disclosures in Financial Statements- Notes to Accounts of NBFCs</w:t>
            </w:r>
          </w:p>
        </w:tc>
      </w:tr>
      <w:tr w:rsidR="00CB6DAF" w:rsidTr="00191B2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Basel III Framework on Liquidity Standards – Liquidity Coverage Ratio (LCR)</w:t>
            </w:r>
          </w:p>
        </w:tc>
      </w:tr>
      <w:tr w:rsidR="00CB6DAF" w:rsidTr="00191B21">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Compliance Function and Role of Chief Compliance Officer (CCO) – NBFCs</w:t>
            </w:r>
          </w:p>
        </w:tc>
      </w:tr>
      <w:tr w:rsidR="00CB6DAF" w:rsidTr="00694649">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Management of Advances – UCBs</w:t>
            </w:r>
          </w:p>
        </w:tc>
      </w:tr>
      <w:tr w:rsidR="00CB6DAF" w:rsidTr="00694649">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Review of SLR holdings in HTM category</w:t>
            </w:r>
          </w:p>
        </w:tc>
      </w:tr>
      <w:tr w:rsidR="00CB6DAF" w:rsidTr="00694649">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Individual Housing Loans – Rationalisation of Risk Weights</w:t>
            </w:r>
          </w:p>
        </w:tc>
      </w:tr>
      <w:tr w:rsidR="00CB6DAF" w:rsidTr="001A13B7">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Income Recognition, Asset Classification, Provisioning and Other Related Matters – UCBs</w:t>
            </w:r>
          </w:p>
        </w:tc>
      </w:tr>
      <w:tr w:rsidR="00CB6DAF" w:rsidTr="001A13B7">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Housing Finance</w:t>
            </w:r>
          </w:p>
        </w:tc>
      </w:tr>
      <w:tr w:rsidR="00CB6DAF" w:rsidTr="001A13B7">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Prudential norms on Income Recognition, Asset Classification and Provisioning pertaining to Advances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Master Circular – Basel III Capital Regulations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Master Circular – Detection and Impounding of Counterfeit Notes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Master Direction on Penal Provisions in deficiencies in reporting of transactions/ balances at Currency Chests</w:t>
            </w:r>
          </w:p>
        </w:tc>
      </w:tr>
      <w:tr w:rsidR="00CB6DAF" w:rsidTr="000726F3">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on Framework of Incentives for Currency Distribution &amp; Exchange Scheme for bank branches including currency chests based on performance in rendering customer service to the members of public</w:t>
            </w:r>
          </w:p>
        </w:tc>
      </w:tr>
      <w:tr w:rsidR="00CB6DAF" w:rsidTr="000726F3">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Scheme of Penalties for bank branches including Currency Chests for deficiency in rendering customer service to the members of public</w:t>
            </w:r>
          </w:p>
        </w:tc>
      </w:tr>
      <w:tr w:rsidR="00CB6DAF" w:rsidTr="000726F3">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Asset Reconstruction Companies</w:t>
            </w:r>
          </w:p>
        </w:tc>
      </w:tr>
      <w:tr w:rsidR="00CB6DAF" w:rsidTr="00595A98">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 Classification, Valuation and Operation of Investment Portfolio of Commercial Banks (Directions), 2021 – Amendment</w:t>
            </w:r>
          </w:p>
        </w:tc>
      </w:tr>
      <w:tr w:rsidR="00CB6DAF" w:rsidTr="00595A98">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Cassette - Swaps in ATMs</w:t>
            </w:r>
          </w:p>
        </w:tc>
      </w:tr>
      <w:tr w:rsidR="00CB6DAF" w:rsidTr="00FA22B5">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 Classification, Valuation and Operation of Investment Portfolio of Commercial Banks (Directions), 2021 – Amendment</w:t>
            </w:r>
          </w:p>
        </w:tc>
      </w:tr>
      <w:tr w:rsidR="00CB6DAF" w:rsidTr="00FA22B5">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 Reserve Bank of India (Regulatory Framework for Microfinance Loans) Directions, 2022</w:t>
            </w:r>
          </w:p>
        </w:tc>
      </w:tr>
      <w:tr w:rsidR="00CB6DAF" w:rsidTr="00FA22B5">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Interest Equalization Scheme on Pre and Post Shipment Rupee Export Credit - Extension</w:t>
            </w:r>
          </w:p>
        </w:tc>
      </w:tr>
      <w:tr w:rsidR="00CB6DAF" w:rsidTr="00FA22B5">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Issue and regulation of share capital and securities - Primary (Urban) Co-operative Banks</w:t>
            </w:r>
          </w:p>
        </w:tc>
      </w:tr>
      <w:tr w:rsidR="00CB6DAF" w:rsidTr="00FA22B5">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Investment in Umbrella Organization (UO) by Primary (Urban) Co-operative Banks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Master Circular – Housing Finance</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Prudential norms on Income Recognition, Asset Classification and Provisioning pertaining to Advances – Clarifications</w:t>
            </w:r>
          </w:p>
        </w:tc>
      </w:tr>
      <w:tr w:rsidR="00CB6DAF" w:rsidTr="00024A10">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Direction – Reserve Bank of India (Credit Derivatives) Directions, 2022</w:t>
            </w:r>
          </w:p>
        </w:tc>
      </w:tr>
      <w:tr w:rsidR="00CB6DAF" w:rsidTr="00024A10">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B6DAF" w:rsidRPr="00CB6DAF" w:rsidRDefault="00CB6DAF" w:rsidP="00CB6DAF">
            <w:pPr>
              <w:rPr>
                <w:rFonts w:ascii="Arial" w:hAnsi="Arial" w:cs="Arial"/>
                <w:color w:val="000000"/>
                <w:sz w:val="20"/>
                <w:szCs w:val="20"/>
              </w:rPr>
            </w:pPr>
            <w:r w:rsidRPr="00CB6DAF">
              <w:rPr>
                <w:rFonts w:ascii="Arial" w:hAnsi="Arial" w:cs="Arial"/>
                <w:color w:val="000000"/>
                <w:sz w:val="20"/>
                <w:szCs w:val="20"/>
              </w:rPr>
              <w:t>Master Circular - Asset Reconstruction Companies</w:t>
            </w:r>
          </w:p>
        </w:tc>
      </w:tr>
      <w:tr w:rsidR="00CB6DAF" w:rsidTr="00CB6DAF">
        <w:tc>
          <w:tcPr>
            <w:tcW w:w="846" w:type="dxa"/>
          </w:tcPr>
          <w:p w:rsidR="00CB6DAF" w:rsidRPr="00CB6DAF" w:rsidRDefault="00CB6DAF" w:rsidP="00CB6DAF">
            <w:pPr>
              <w:pStyle w:val="ListParagraph"/>
              <w:numPr>
                <w:ilvl w:val="0"/>
                <w:numId w:val="7"/>
              </w:numPr>
              <w:jc w:val="both"/>
              <w:rPr>
                <w:rFonts w:ascii="Arial" w:hAnsi="Arial" w:cs="Arial"/>
              </w:rPr>
            </w:pPr>
          </w:p>
        </w:tc>
        <w:tc>
          <w:tcPr>
            <w:tcW w:w="8170" w:type="dxa"/>
          </w:tcPr>
          <w:p w:rsidR="00CB6DAF" w:rsidRPr="00CB6DAF" w:rsidRDefault="00CB6DAF" w:rsidP="00CB6DAF">
            <w:pPr>
              <w:jc w:val="both"/>
              <w:rPr>
                <w:rFonts w:ascii="Arial" w:hAnsi="Arial" w:cs="Arial"/>
                <w:sz w:val="20"/>
                <w:szCs w:val="20"/>
              </w:rPr>
            </w:pPr>
            <w:r w:rsidRPr="00CB6DAF">
              <w:rPr>
                <w:rFonts w:ascii="Arial" w:hAnsi="Arial" w:cs="Arial"/>
                <w:sz w:val="20"/>
                <w:szCs w:val="20"/>
              </w:rPr>
              <w:t>Basel III Framework on Liquidity Standards – Liquidity Coverage Ratio (LCR), Liquidity Risk Monitoring Tools and LCR Disclosure Standards and Net Stable Funding ratio – Small Business Customers</w:t>
            </w:r>
          </w:p>
        </w:tc>
      </w:tr>
    </w:tbl>
    <w:p w:rsidR="006A07B4" w:rsidRDefault="006A07B4" w:rsidP="006A07B4">
      <w:pPr>
        <w:jc w:val="both"/>
        <w:rPr>
          <w:b/>
        </w:rPr>
      </w:pPr>
    </w:p>
    <w:p w:rsidR="006A07B4" w:rsidRPr="00470480" w:rsidRDefault="006A07B4" w:rsidP="006A07B4">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6A07B4" w:rsidRPr="00470480" w:rsidRDefault="006A07B4" w:rsidP="006A07B4">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6A07B4" w:rsidRPr="00470480" w:rsidRDefault="006A07B4" w:rsidP="006A07B4">
      <w:pPr>
        <w:jc w:val="both"/>
        <w:rPr>
          <w:rFonts w:ascii="Arial" w:hAnsi="Arial" w:cs="Arial"/>
          <w:sz w:val="20"/>
          <w:szCs w:val="20"/>
        </w:rPr>
      </w:pPr>
      <w:r w:rsidRPr="00470480">
        <w:rPr>
          <w:rFonts w:ascii="Arial" w:hAnsi="Arial" w:cs="Arial"/>
          <w:sz w:val="20"/>
          <w:szCs w:val="20"/>
        </w:rPr>
        <w:t>June 28, 2022</w:t>
      </w:r>
      <w:bookmarkStart w:id="0" w:name="_GoBack"/>
      <w:bookmarkEnd w:id="0"/>
    </w:p>
    <w:p w:rsidR="006A07B4" w:rsidRPr="00470480" w:rsidRDefault="006A07B4" w:rsidP="006A07B4">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6A07B4" w:rsidRPr="00470480" w:rsidRDefault="006A07B4" w:rsidP="006A07B4">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6A07B4" w:rsidRPr="00470480" w:rsidRDefault="006A07B4" w:rsidP="006A07B4">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6A07B4" w:rsidRPr="00470480" w:rsidRDefault="006A07B4" w:rsidP="006A07B4">
      <w:pPr>
        <w:jc w:val="both"/>
        <w:rPr>
          <w:rFonts w:ascii="Arial" w:hAnsi="Arial" w:cs="Arial"/>
          <w:sz w:val="20"/>
          <w:szCs w:val="20"/>
        </w:rPr>
      </w:pPr>
      <w:r w:rsidRPr="00470480">
        <w:rPr>
          <w:rFonts w:ascii="Arial" w:hAnsi="Arial" w:cs="Arial"/>
          <w:sz w:val="20"/>
          <w:szCs w:val="20"/>
        </w:rPr>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6A07B4" w:rsidRPr="00470480" w:rsidRDefault="006A07B4" w:rsidP="006A07B4">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6A07B4" w:rsidRPr="00470480" w:rsidRDefault="006A07B4" w:rsidP="006A07B4">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6A07B4" w:rsidRPr="00470480" w:rsidRDefault="006A07B4" w:rsidP="006A07B4">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6A07B4" w:rsidRPr="00470480" w:rsidRDefault="006A07B4" w:rsidP="006A07B4">
      <w:pPr>
        <w:jc w:val="both"/>
        <w:rPr>
          <w:rFonts w:ascii="Arial" w:hAnsi="Arial" w:cs="Arial"/>
          <w:sz w:val="20"/>
          <w:szCs w:val="20"/>
        </w:rPr>
      </w:pPr>
      <w:r w:rsidRPr="00470480">
        <w:rPr>
          <w:rFonts w:ascii="Arial" w:hAnsi="Arial" w:cs="Arial"/>
          <w:sz w:val="20"/>
          <w:szCs w:val="20"/>
        </w:rPr>
        <w:t>4. Valuation of investments in SRs made after the issuance of MD-TLE shall be strictly in terms of the provisions thereunder.</w:t>
      </w:r>
    </w:p>
    <w:p w:rsidR="006A07B4" w:rsidRPr="00470480" w:rsidRDefault="006A07B4" w:rsidP="006A07B4">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6A07B4" w:rsidRPr="00470480" w:rsidRDefault="006A07B4" w:rsidP="006A07B4">
      <w:pPr>
        <w:jc w:val="both"/>
        <w:rPr>
          <w:rFonts w:ascii="Arial" w:hAnsi="Arial" w:cs="Arial"/>
          <w:sz w:val="20"/>
          <w:szCs w:val="20"/>
        </w:rPr>
      </w:pPr>
      <w:r w:rsidRPr="00470480">
        <w:rPr>
          <w:rFonts w:ascii="Arial" w:hAnsi="Arial" w:cs="Arial"/>
          <w:sz w:val="20"/>
          <w:szCs w:val="20"/>
        </w:rPr>
        <w:t>Yours faithfully,</w:t>
      </w:r>
    </w:p>
    <w:p w:rsidR="006A07B4" w:rsidRPr="00470480" w:rsidRDefault="006A07B4" w:rsidP="006A07B4">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6A07B4" w:rsidRPr="00470480" w:rsidRDefault="006A07B4" w:rsidP="006A07B4">
      <w:pPr>
        <w:jc w:val="both"/>
        <w:rPr>
          <w:rFonts w:ascii="Arial" w:hAnsi="Arial" w:cs="Arial"/>
          <w:sz w:val="20"/>
          <w:szCs w:val="20"/>
        </w:rPr>
      </w:pPr>
    </w:p>
    <w:p w:rsidR="006A07B4" w:rsidRPr="00470480" w:rsidRDefault="006A07B4" w:rsidP="006A07B4">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6A07B4" w:rsidRDefault="006A07B4">
      <w:r>
        <w:br w:type="page"/>
      </w:r>
    </w:p>
    <w:p w:rsidR="006A07B4" w:rsidRPr="00470480" w:rsidRDefault="006A07B4" w:rsidP="006A07B4">
      <w:pPr>
        <w:jc w:val="both"/>
        <w:rPr>
          <w:rFonts w:ascii="Arial" w:hAnsi="Arial" w:cs="Arial"/>
          <w:sz w:val="20"/>
          <w:szCs w:val="20"/>
        </w:rPr>
      </w:pPr>
    </w:p>
    <w:p w:rsidR="006A07B4" w:rsidRPr="00470480" w:rsidRDefault="006A07B4" w:rsidP="006A07B4">
      <w:pPr>
        <w:jc w:val="both"/>
        <w:rPr>
          <w:rFonts w:ascii="Arial" w:hAnsi="Arial" w:cs="Arial"/>
          <w:b/>
          <w:bCs/>
          <w:color w:val="000000"/>
          <w:sz w:val="20"/>
          <w:szCs w:val="20"/>
        </w:rPr>
      </w:pPr>
      <w:r w:rsidRPr="00470480">
        <w:rPr>
          <w:rFonts w:ascii="Arial" w:hAnsi="Arial" w:cs="Arial"/>
          <w:b/>
          <w:bCs/>
          <w:color w:val="000000"/>
          <w:sz w:val="20"/>
          <w:szCs w:val="20"/>
        </w:rPr>
        <w:t>Extension of timeline for implementation of certain provisions of Master Direction – Credit Card and Debit Card – Issuance and Conduct Directions, 2022</w:t>
      </w:r>
    </w:p>
    <w:p w:rsidR="006A07B4" w:rsidRPr="00470480" w:rsidRDefault="006A07B4" w:rsidP="006A07B4">
      <w:pPr>
        <w:jc w:val="both"/>
        <w:rPr>
          <w:rFonts w:ascii="Arial" w:hAnsi="Arial" w:cs="Arial"/>
          <w:sz w:val="20"/>
          <w:szCs w:val="20"/>
        </w:rPr>
      </w:pPr>
      <w:r w:rsidRPr="00470480">
        <w:rPr>
          <w:rFonts w:ascii="Arial" w:hAnsi="Arial" w:cs="Arial"/>
          <w:sz w:val="20"/>
          <w:szCs w:val="20"/>
        </w:rPr>
        <w:t>RBI/2022-23/74</w:t>
      </w:r>
      <w:r w:rsidRPr="00470480">
        <w:rPr>
          <w:rFonts w:ascii="Arial" w:hAnsi="Arial" w:cs="Arial"/>
          <w:sz w:val="20"/>
          <w:szCs w:val="20"/>
        </w:rPr>
        <w:br/>
        <w:t>DoR.AUT.REC.No.48/24.01.041/2022-23</w:t>
      </w:r>
    </w:p>
    <w:p w:rsidR="006A07B4" w:rsidRPr="00470480" w:rsidRDefault="006A07B4" w:rsidP="006A07B4">
      <w:pPr>
        <w:jc w:val="both"/>
        <w:rPr>
          <w:rFonts w:ascii="Arial" w:hAnsi="Arial" w:cs="Arial"/>
          <w:sz w:val="20"/>
          <w:szCs w:val="20"/>
        </w:rPr>
      </w:pPr>
      <w:r w:rsidRPr="00470480">
        <w:rPr>
          <w:rFonts w:ascii="Arial" w:hAnsi="Arial" w:cs="Arial"/>
          <w:sz w:val="20"/>
          <w:szCs w:val="20"/>
        </w:rPr>
        <w:t>June 21, 2022</w:t>
      </w:r>
    </w:p>
    <w:p w:rsidR="006A07B4" w:rsidRPr="00470480" w:rsidRDefault="006A07B4" w:rsidP="006A07B4">
      <w:pPr>
        <w:jc w:val="both"/>
        <w:rPr>
          <w:rFonts w:ascii="Arial" w:hAnsi="Arial" w:cs="Arial"/>
          <w:sz w:val="20"/>
          <w:szCs w:val="20"/>
        </w:rPr>
      </w:pPr>
      <w:r w:rsidRPr="00470480">
        <w:rPr>
          <w:rFonts w:ascii="Arial" w:hAnsi="Arial" w:cs="Arial"/>
          <w:sz w:val="20"/>
          <w:szCs w:val="20"/>
        </w:rPr>
        <w:t>All Scheduled Banks (excluding Payments Banks/State Co-operative Banks and District Central Co-operative Banks)</w:t>
      </w:r>
      <w:r w:rsidRPr="00470480">
        <w:rPr>
          <w:rFonts w:ascii="Arial" w:hAnsi="Arial" w:cs="Arial"/>
          <w:sz w:val="20"/>
          <w:szCs w:val="20"/>
        </w:rPr>
        <w:br/>
        <w:t>All Non-Banking Financial Companies (NBFCs)</w:t>
      </w:r>
    </w:p>
    <w:p w:rsidR="006A07B4" w:rsidRPr="00470480" w:rsidRDefault="006A07B4" w:rsidP="006A07B4">
      <w:pPr>
        <w:jc w:val="both"/>
        <w:rPr>
          <w:rFonts w:ascii="Arial" w:hAnsi="Arial" w:cs="Arial"/>
          <w:sz w:val="20"/>
          <w:szCs w:val="20"/>
        </w:rPr>
      </w:pPr>
      <w:r w:rsidRPr="00470480">
        <w:rPr>
          <w:rFonts w:ascii="Arial" w:hAnsi="Arial" w:cs="Arial"/>
          <w:sz w:val="20"/>
          <w:szCs w:val="20"/>
        </w:rPr>
        <w:t>Madam/Dear Sir</w:t>
      </w:r>
    </w:p>
    <w:p w:rsidR="006A07B4" w:rsidRPr="00470480" w:rsidRDefault="006A07B4" w:rsidP="006A07B4">
      <w:pPr>
        <w:jc w:val="both"/>
        <w:rPr>
          <w:rFonts w:ascii="Arial" w:hAnsi="Arial" w:cs="Arial"/>
          <w:b/>
          <w:bCs/>
          <w:sz w:val="20"/>
          <w:szCs w:val="20"/>
        </w:rPr>
      </w:pPr>
      <w:r w:rsidRPr="00470480">
        <w:rPr>
          <w:rFonts w:ascii="Arial" w:hAnsi="Arial" w:cs="Arial"/>
          <w:b/>
          <w:bCs/>
          <w:sz w:val="20"/>
          <w:szCs w:val="20"/>
        </w:rPr>
        <w:t>Extension of timeline for implementation of certain provisions of Master Direction – Credit</w:t>
      </w:r>
      <w:r w:rsidRPr="00470480">
        <w:rPr>
          <w:rFonts w:ascii="Arial" w:hAnsi="Arial" w:cs="Arial"/>
          <w:b/>
          <w:bCs/>
          <w:sz w:val="20"/>
          <w:szCs w:val="20"/>
        </w:rPr>
        <w:br/>
        <w:t>Card and Debit Card – Issuance and Conduct Directions, 2022</w:t>
      </w:r>
    </w:p>
    <w:p w:rsidR="006A07B4" w:rsidRPr="00470480" w:rsidRDefault="006A07B4" w:rsidP="006A07B4">
      <w:pPr>
        <w:jc w:val="both"/>
        <w:rPr>
          <w:rFonts w:ascii="Arial" w:hAnsi="Arial" w:cs="Arial"/>
          <w:sz w:val="20"/>
          <w:szCs w:val="20"/>
        </w:rPr>
      </w:pPr>
      <w:r w:rsidRPr="00470480">
        <w:rPr>
          <w:rFonts w:ascii="Arial" w:hAnsi="Arial" w:cs="Arial"/>
          <w:sz w:val="20"/>
          <w:szCs w:val="20"/>
        </w:rPr>
        <w:t>Please refer to paragraph 1 (b) of the </w:t>
      </w:r>
      <w:hyperlink r:id="rId8" w:tgtFrame="_blank" w:history="1">
        <w:r w:rsidRPr="00470480">
          <w:rPr>
            <w:rStyle w:val="Hyperlink"/>
            <w:rFonts w:ascii="Arial" w:hAnsi="Arial" w:cs="Arial"/>
            <w:sz w:val="20"/>
            <w:szCs w:val="20"/>
          </w:rPr>
          <w:t>Master Direction – Credit Card and Debit Card – Issuance and Conduct Directions, 2022</w:t>
        </w:r>
      </w:hyperlink>
      <w:r w:rsidRPr="00470480">
        <w:rPr>
          <w:rFonts w:ascii="Arial" w:hAnsi="Arial" w:cs="Arial"/>
          <w:sz w:val="20"/>
          <w:szCs w:val="20"/>
        </w:rPr>
        <w:t> (“Master Direction”) dated April 21, 2022, wherein the Reserve Bank had prescribed a timeline of July 01, 2022, for implementation of the provisions of the Master Direction.</w:t>
      </w:r>
    </w:p>
    <w:p w:rsidR="006A07B4" w:rsidRPr="00470480" w:rsidRDefault="006A07B4" w:rsidP="006A07B4">
      <w:pPr>
        <w:jc w:val="both"/>
        <w:rPr>
          <w:rFonts w:ascii="Arial" w:hAnsi="Arial" w:cs="Arial"/>
          <w:sz w:val="20"/>
          <w:szCs w:val="20"/>
        </w:rPr>
      </w:pPr>
      <w:r w:rsidRPr="00470480">
        <w:rPr>
          <w:rFonts w:ascii="Arial" w:hAnsi="Arial" w:cs="Arial"/>
          <w:sz w:val="20"/>
          <w:szCs w:val="20"/>
        </w:rPr>
        <w:t>2. Considering various representations received from the industry stakeholders, it has been decided to extend the timeline for implementation of the following provisions of the Master Direction to October 01, 2022:</w:t>
      </w:r>
    </w:p>
    <w:p w:rsidR="006A07B4" w:rsidRPr="00470480" w:rsidRDefault="006A07B4" w:rsidP="006A07B4">
      <w:pPr>
        <w:numPr>
          <w:ilvl w:val="0"/>
          <w:numId w:val="2"/>
        </w:numPr>
        <w:jc w:val="both"/>
        <w:rPr>
          <w:rFonts w:ascii="Arial" w:hAnsi="Arial" w:cs="Arial"/>
          <w:sz w:val="20"/>
          <w:szCs w:val="20"/>
        </w:rPr>
      </w:pPr>
      <w:r w:rsidRPr="00470480">
        <w:rPr>
          <w:rFonts w:ascii="Arial" w:hAnsi="Arial" w:cs="Arial"/>
          <w:sz w:val="20"/>
          <w:szCs w:val="20"/>
          <w:u w:val="single"/>
        </w:rPr>
        <w:t>Paragraph 6(a)(vi)</w:t>
      </w:r>
      <w:r w:rsidRPr="00470480">
        <w:rPr>
          <w:rFonts w:ascii="Arial" w:hAnsi="Arial" w:cs="Arial"/>
          <w:sz w:val="20"/>
          <w:szCs w:val="20"/>
        </w:rPr>
        <w:t> - Card-issuers shall seek One Time Password (OTP) based consent from the cardholder for activating a credit card, if the same has not been activated by the customer for more than 30 days from the date of issuance. If no consent is received for activating the card, card-issuers shall close the credit card account without any cost to the customer within seven working days from date of seeking confirmation from the customer.</w:t>
      </w:r>
    </w:p>
    <w:p w:rsidR="006A07B4" w:rsidRPr="00470480" w:rsidRDefault="006A07B4" w:rsidP="006A07B4">
      <w:pPr>
        <w:numPr>
          <w:ilvl w:val="0"/>
          <w:numId w:val="2"/>
        </w:numPr>
        <w:jc w:val="both"/>
        <w:rPr>
          <w:rFonts w:ascii="Arial" w:hAnsi="Arial" w:cs="Arial"/>
          <w:sz w:val="20"/>
          <w:szCs w:val="20"/>
        </w:rPr>
      </w:pPr>
      <w:r w:rsidRPr="00470480">
        <w:rPr>
          <w:rFonts w:ascii="Arial" w:hAnsi="Arial" w:cs="Arial"/>
          <w:sz w:val="20"/>
          <w:szCs w:val="20"/>
          <w:u w:val="single"/>
        </w:rPr>
        <w:t>Paragraph 6(b)(v)</w:t>
      </w:r>
      <w:r w:rsidRPr="00470480">
        <w:rPr>
          <w:rFonts w:ascii="Arial" w:hAnsi="Arial" w:cs="Arial"/>
          <w:sz w:val="20"/>
          <w:szCs w:val="20"/>
        </w:rPr>
        <w:t> - Card-issuers shall ensure that the credit limit as sanctioned and advised to the cardholder is not breached at any point in time without seeking explicit consent from the cardholder.</w:t>
      </w:r>
    </w:p>
    <w:p w:rsidR="006A07B4" w:rsidRPr="00470480" w:rsidRDefault="006A07B4" w:rsidP="006A07B4">
      <w:pPr>
        <w:numPr>
          <w:ilvl w:val="0"/>
          <w:numId w:val="2"/>
        </w:numPr>
        <w:jc w:val="both"/>
        <w:rPr>
          <w:rFonts w:ascii="Arial" w:hAnsi="Arial" w:cs="Arial"/>
          <w:sz w:val="20"/>
          <w:szCs w:val="20"/>
        </w:rPr>
      </w:pPr>
      <w:r w:rsidRPr="00470480">
        <w:rPr>
          <w:rFonts w:ascii="Arial" w:hAnsi="Arial" w:cs="Arial"/>
          <w:sz w:val="20"/>
          <w:szCs w:val="20"/>
          <w:u w:val="single"/>
        </w:rPr>
        <w:t>Paragraph 9(b)(ii)</w:t>
      </w:r>
      <w:r w:rsidRPr="00470480">
        <w:rPr>
          <w:rFonts w:ascii="Arial" w:hAnsi="Arial" w:cs="Arial"/>
          <w:sz w:val="20"/>
          <w:szCs w:val="20"/>
        </w:rPr>
        <w:t> - No capitalization of unpaid charges/levies/taxes for charging/ compounding of interest.</w:t>
      </w:r>
    </w:p>
    <w:p w:rsidR="006A07B4" w:rsidRPr="00470480" w:rsidRDefault="006A07B4" w:rsidP="006A07B4">
      <w:pPr>
        <w:jc w:val="both"/>
        <w:rPr>
          <w:rFonts w:ascii="Arial" w:hAnsi="Arial" w:cs="Arial"/>
          <w:sz w:val="20"/>
          <w:szCs w:val="20"/>
        </w:rPr>
      </w:pPr>
      <w:r w:rsidRPr="00470480">
        <w:rPr>
          <w:rFonts w:ascii="Arial" w:hAnsi="Arial" w:cs="Arial"/>
          <w:sz w:val="20"/>
          <w:szCs w:val="20"/>
        </w:rPr>
        <w:t>3. The stipulated timeline for implementation of rest of the provisions of the Master Direction remains unchanged.</w:t>
      </w:r>
    </w:p>
    <w:p w:rsidR="006A07B4" w:rsidRPr="00470480" w:rsidRDefault="006A07B4" w:rsidP="006A07B4">
      <w:pPr>
        <w:jc w:val="both"/>
        <w:rPr>
          <w:rFonts w:ascii="Arial" w:hAnsi="Arial" w:cs="Arial"/>
          <w:sz w:val="20"/>
          <w:szCs w:val="20"/>
        </w:rPr>
      </w:pPr>
      <w:r w:rsidRPr="00470480">
        <w:rPr>
          <w:rFonts w:ascii="Arial" w:hAnsi="Arial" w:cs="Arial"/>
          <w:sz w:val="20"/>
          <w:szCs w:val="20"/>
        </w:rPr>
        <w:t>Yours faithfully</w:t>
      </w:r>
    </w:p>
    <w:p w:rsidR="006A07B4" w:rsidRPr="00470480" w:rsidRDefault="006A07B4" w:rsidP="006A07B4">
      <w:pPr>
        <w:rPr>
          <w:rFonts w:ascii="Arial" w:hAnsi="Arial" w:cs="Arial"/>
          <w:sz w:val="20"/>
          <w:szCs w:val="20"/>
        </w:rPr>
      </w:pPr>
      <w:r w:rsidRPr="00470480">
        <w:rPr>
          <w:rFonts w:ascii="Arial" w:hAnsi="Arial" w:cs="Arial"/>
          <w:b/>
          <w:bCs/>
          <w:sz w:val="20"/>
          <w:szCs w:val="20"/>
        </w:rPr>
        <w:t xml:space="preserve">(Prakash </w:t>
      </w:r>
      <w:proofErr w:type="spellStart"/>
      <w:r w:rsidRPr="00470480">
        <w:rPr>
          <w:rFonts w:ascii="Arial" w:hAnsi="Arial" w:cs="Arial"/>
          <w:b/>
          <w:bCs/>
          <w:sz w:val="20"/>
          <w:szCs w:val="20"/>
        </w:rPr>
        <w:t>Baliarsingh</w:t>
      </w:r>
      <w:proofErr w:type="spellEnd"/>
      <w:r w:rsidRPr="00470480">
        <w:rPr>
          <w:rFonts w:ascii="Arial" w:hAnsi="Arial" w:cs="Arial"/>
          <w:b/>
          <w:bCs/>
          <w:sz w:val="20"/>
          <w:szCs w:val="20"/>
        </w:rPr>
        <w:t>)</w:t>
      </w:r>
      <w:r w:rsidRPr="00470480">
        <w:rPr>
          <w:rFonts w:ascii="Arial" w:hAnsi="Arial" w:cs="Arial"/>
          <w:sz w:val="20"/>
          <w:szCs w:val="20"/>
        </w:rPr>
        <w:br/>
        <w:t>Chief General Manager</w:t>
      </w:r>
    </w:p>
    <w:p w:rsidR="006A07B4" w:rsidRDefault="006A07B4" w:rsidP="006A07B4">
      <w:pPr>
        <w:jc w:val="both"/>
        <w:rPr>
          <w:rFonts w:ascii="Arial" w:hAnsi="Arial" w:cs="Arial"/>
          <w:sz w:val="20"/>
          <w:szCs w:val="20"/>
        </w:rPr>
      </w:pPr>
    </w:p>
    <w:p w:rsidR="006A07B4" w:rsidRDefault="006A07B4" w:rsidP="006A07B4">
      <w:pPr>
        <w:jc w:val="both"/>
        <w:rPr>
          <w:rFonts w:ascii="Arial" w:hAnsi="Arial" w:cs="Arial"/>
          <w:sz w:val="20"/>
          <w:szCs w:val="20"/>
        </w:rPr>
      </w:pPr>
    </w:p>
    <w:p w:rsidR="006A07B4" w:rsidRPr="00470480" w:rsidRDefault="006A07B4" w:rsidP="006A07B4">
      <w:pPr>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https://www.rbi.org.in/Scripts/NotificationUser.aspx?Id=12342&amp;Mode=0</w:t>
        </w:r>
      </w:hyperlink>
    </w:p>
    <w:p w:rsidR="006A07B4" w:rsidRPr="00470480" w:rsidRDefault="006A07B4" w:rsidP="006A07B4">
      <w:pPr>
        <w:jc w:val="both"/>
        <w:rPr>
          <w:rFonts w:ascii="Arial" w:hAnsi="Arial" w:cs="Arial"/>
          <w:sz w:val="20"/>
          <w:szCs w:val="20"/>
        </w:rPr>
      </w:pPr>
    </w:p>
    <w:p w:rsidR="006A07B4" w:rsidRPr="00470480" w:rsidRDefault="006A07B4" w:rsidP="006A07B4">
      <w:pPr>
        <w:jc w:val="both"/>
        <w:rPr>
          <w:rFonts w:ascii="Arial" w:hAnsi="Arial" w:cs="Arial"/>
          <w:sz w:val="20"/>
          <w:szCs w:val="20"/>
        </w:rPr>
      </w:pPr>
    </w:p>
    <w:p w:rsidR="006A07B4" w:rsidRPr="00470480" w:rsidRDefault="006A07B4" w:rsidP="006A07B4">
      <w:pPr>
        <w:jc w:val="both"/>
        <w:rPr>
          <w:rFonts w:ascii="Arial" w:hAnsi="Arial" w:cs="Arial"/>
          <w:sz w:val="20"/>
          <w:szCs w:val="20"/>
        </w:rPr>
      </w:pPr>
    </w:p>
    <w:p w:rsidR="006A07B4" w:rsidRPr="00470480" w:rsidRDefault="006A07B4" w:rsidP="006A07B4">
      <w:pPr>
        <w:jc w:val="both"/>
        <w:rPr>
          <w:rFonts w:ascii="Arial" w:hAnsi="Arial" w:cs="Arial"/>
          <w:sz w:val="20"/>
          <w:szCs w:val="20"/>
        </w:rPr>
      </w:pPr>
    </w:p>
    <w:p w:rsidR="006A07B4" w:rsidRDefault="006A07B4">
      <w:r>
        <w:br w:type="page"/>
      </w: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b/>
          <w:bCs/>
          <w:color w:val="000000"/>
          <w:sz w:val="20"/>
          <w:szCs w:val="20"/>
        </w:rPr>
      </w:pPr>
    </w:p>
    <w:p w:rsidR="006A07B4" w:rsidRPr="00470480" w:rsidRDefault="006A07B4" w:rsidP="006A07B4">
      <w:pPr>
        <w:spacing w:after="0"/>
        <w:jc w:val="both"/>
        <w:rPr>
          <w:rFonts w:ascii="Arial" w:hAnsi="Arial" w:cs="Arial"/>
          <w:b/>
          <w:bCs/>
          <w:color w:val="000000"/>
          <w:sz w:val="20"/>
          <w:szCs w:val="20"/>
        </w:rPr>
      </w:pPr>
      <w:r w:rsidRPr="00470480">
        <w:rPr>
          <w:rFonts w:ascii="Arial" w:hAnsi="Arial" w:cs="Arial"/>
          <w:b/>
          <w:bCs/>
          <w:color w:val="000000"/>
          <w:sz w:val="20"/>
          <w:szCs w:val="20"/>
        </w:rPr>
        <w:t>Section 23 of the Banking Regulation Act, 1949 – Doorstep Banking</w:t>
      </w:r>
    </w:p>
    <w:p w:rsidR="006A07B4" w:rsidRPr="00470480" w:rsidRDefault="006A07B4" w:rsidP="006A07B4">
      <w:pPr>
        <w:spacing w:after="0"/>
        <w:jc w:val="both"/>
        <w:rPr>
          <w:rFonts w:ascii="Arial" w:hAnsi="Arial" w:cs="Arial"/>
          <w:b/>
          <w:bCs/>
          <w:color w:val="000000"/>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RBI/2022-23/66</w:t>
      </w:r>
    </w:p>
    <w:p w:rsidR="006A07B4" w:rsidRPr="00470480" w:rsidRDefault="006A07B4" w:rsidP="006A07B4">
      <w:pPr>
        <w:spacing w:after="0"/>
        <w:jc w:val="both"/>
        <w:rPr>
          <w:rFonts w:ascii="Arial" w:hAnsi="Arial" w:cs="Arial"/>
          <w:sz w:val="20"/>
          <w:szCs w:val="20"/>
        </w:rPr>
      </w:pPr>
      <w:proofErr w:type="gramStart"/>
      <w:r w:rsidRPr="00470480">
        <w:rPr>
          <w:rFonts w:ascii="Arial" w:hAnsi="Arial" w:cs="Arial"/>
          <w:sz w:val="20"/>
          <w:szCs w:val="20"/>
        </w:rPr>
        <w:t>DOR.REG.No.</w:t>
      </w:r>
      <w:proofErr w:type="gramEnd"/>
      <w:r w:rsidRPr="00470480">
        <w:rPr>
          <w:rFonts w:ascii="Arial" w:hAnsi="Arial" w:cs="Arial"/>
          <w:sz w:val="20"/>
          <w:szCs w:val="20"/>
        </w:rPr>
        <w:t>45/19.51.052/2022-23</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June 8, 2022</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All Primary (Urban) Co-operative banks</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Madam / Dear Sir</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Section 23 of the Banking Regulation Act, 1949 – Doorstep Banking</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In terms of Section 23 of the Banking Regulation Act, 1949 (AACS) Primary (Urban) Co-operative Banks (UCBs) are required to seek prior approval of the Reserve Bank for opening any new place of business including offering services at the doorstep of the customer.</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2. Keeping in view the above, it has been decided to allow financially sound and well managed (FSWM) UCBs to provide Doorstep Banking Services to their customers on a voluntary basis. However, Non-FSWM UCBs would have to seek prior approval of concerned Regional Office of Department of Supervision of the Reserve Bank to provide Doorstep Banking Services.</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3. Eligible UCBs may formulate a scheme for providing Doorstep Banking Services to their customers, with the approval of their Boards, in accordance with the guidelines enclosed to this letter.</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4. UCBs are further advised to take into account the various risks that may arise on account of offering Doorstep Banking Services to customers either directly through own employees or through agents and take all necessary steps to manage the same.</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5. The operation of the scheme may also be reviewed by the Boards of UCBs on a half-yearly basis during the first year of its operation. The scheme may be reviewed thereafter on an annual basis.</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Yours faithfully</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Shrimohan</w:t>
      </w:r>
      <w:proofErr w:type="spellEnd"/>
      <w:r w:rsidRPr="00470480">
        <w:rPr>
          <w:rFonts w:ascii="Arial" w:hAnsi="Arial" w:cs="Arial"/>
          <w:sz w:val="20"/>
          <w:szCs w:val="20"/>
        </w:rPr>
        <w:t xml:space="preserve"> Yadav)</w:t>
      </w: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Chief General Manager</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 xml:space="preserve">Reference Link: </w:t>
      </w:r>
      <w:hyperlink r:id="rId10" w:history="1">
        <w:r w:rsidRPr="00470480">
          <w:rPr>
            <w:rStyle w:val="Hyperlink"/>
            <w:rFonts w:ascii="Arial" w:hAnsi="Arial" w:cs="Arial"/>
            <w:sz w:val="20"/>
            <w:szCs w:val="20"/>
          </w:rPr>
          <w:t>https://www.rbi.org.in/Scripts/NotificationUser.aspx?Id=12334&amp;Mode=0</w:t>
        </w:r>
      </w:hyperlink>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Pr="00470480" w:rsidRDefault="006A07B4" w:rsidP="006A07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Bharat Bill Payment System – Amendment to guidelines</w:t>
      </w:r>
    </w:p>
    <w:p w:rsidR="006A07B4" w:rsidRPr="00470480" w:rsidRDefault="006A07B4" w:rsidP="006A07B4">
      <w:pPr>
        <w:spacing w:after="0"/>
        <w:jc w:val="both"/>
        <w:rPr>
          <w:rFonts w:ascii="Arial" w:hAnsi="Arial" w:cs="Arial"/>
          <w:b/>
          <w:bCs/>
          <w:color w:val="000000"/>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RBI/2022-2023/58</w:t>
      </w:r>
    </w:p>
    <w:p w:rsidR="006A07B4" w:rsidRPr="00470480" w:rsidRDefault="006A07B4" w:rsidP="006A07B4">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May 26, 2022</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Madam / Dear Sir,</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Yours faithfully,</w:t>
      </w: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Chief General Manager</w:t>
      </w: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r w:rsidRPr="00470480">
        <w:rPr>
          <w:rFonts w:ascii="Arial" w:hAnsi="Arial" w:cs="Arial"/>
          <w:sz w:val="20"/>
          <w:szCs w:val="20"/>
        </w:rPr>
        <w:t xml:space="preserve">Reference Link: </w:t>
      </w:r>
      <w:hyperlink r:id="rId11" w:history="1">
        <w:r w:rsidRPr="00470480">
          <w:rPr>
            <w:rStyle w:val="Hyperlink"/>
            <w:rFonts w:ascii="Arial" w:hAnsi="Arial" w:cs="Arial"/>
            <w:sz w:val="20"/>
            <w:szCs w:val="20"/>
          </w:rPr>
          <w:t>https://www.rbi.org.in/Scripts/NotificationUser.aspx?Id=12325&amp;Mode=0</w:t>
        </w:r>
      </w:hyperlink>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Default="006A07B4" w:rsidP="006A07B4">
      <w:pPr>
        <w:spacing w:after="0"/>
        <w:jc w:val="both"/>
        <w:rPr>
          <w:rFonts w:ascii="Arial" w:hAnsi="Arial" w:cs="Arial"/>
          <w:b/>
          <w:bCs/>
          <w:color w:val="000000"/>
          <w:sz w:val="20"/>
          <w:szCs w:val="20"/>
        </w:rPr>
      </w:pPr>
    </w:p>
    <w:p w:rsidR="006A07B4" w:rsidRPr="00470480" w:rsidRDefault="006A07B4" w:rsidP="006A07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 xml:space="preserve">Guidelines on import of gold by Qualified Jewellers as notified by – The International Financial Services </w:t>
      </w:r>
      <w:proofErr w:type="spellStart"/>
      <w:r w:rsidRPr="00470480">
        <w:rPr>
          <w:rFonts w:ascii="Arial" w:hAnsi="Arial" w:cs="Arial"/>
          <w:b/>
          <w:bCs/>
          <w:color w:val="000000"/>
          <w:sz w:val="20"/>
          <w:szCs w:val="20"/>
        </w:rPr>
        <w:t>Centers</w:t>
      </w:r>
      <w:proofErr w:type="spellEnd"/>
      <w:r w:rsidRPr="00470480">
        <w:rPr>
          <w:rFonts w:ascii="Arial" w:hAnsi="Arial" w:cs="Arial"/>
          <w:b/>
          <w:bCs/>
          <w:color w:val="000000"/>
          <w:sz w:val="20"/>
          <w:szCs w:val="20"/>
        </w:rPr>
        <w:t xml:space="preserve"> Authority (IFSCA)</w:t>
      </w:r>
    </w:p>
    <w:p w:rsidR="006A07B4" w:rsidRPr="00470480" w:rsidRDefault="006A07B4" w:rsidP="006A07B4">
      <w:pPr>
        <w:spacing w:after="0"/>
        <w:jc w:val="both"/>
        <w:rPr>
          <w:rFonts w:ascii="Arial" w:hAnsi="Arial" w:cs="Arial"/>
          <w:b/>
          <w:bCs/>
          <w:color w:val="000000"/>
          <w:sz w:val="20"/>
          <w:szCs w:val="20"/>
        </w:rPr>
      </w:pP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RBI/2022-2023/57</w:t>
      </w:r>
      <w:r w:rsidRPr="00470480">
        <w:rPr>
          <w:rFonts w:ascii="Arial" w:hAnsi="Arial" w:cs="Arial"/>
          <w:sz w:val="20"/>
          <w:szCs w:val="20"/>
        </w:rPr>
        <w:br/>
        <w:t>A.P. (DIR Series) Circular No.04</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May 25, 2022</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To</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All Category-I Authorised Dealer Banks</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Madam/Sir,</w:t>
      </w:r>
    </w:p>
    <w:p w:rsidR="006A07B4" w:rsidRPr="00470480" w:rsidRDefault="006A07B4" w:rsidP="006A07B4">
      <w:pPr>
        <w:pStyle w:val="head"/>
        <w:rPr>
          <w:rFonts w:ascii="Arial" w:hAnsi="Arial" w:cs="Arial"/>
          <w:b/>
          <w:bCs/>
          <w:sz w:val="20"/>
          <w:szCs w:val="20"/>
        </w:rPr>
      </w:pPr>
      <w:r w:rsidRPr="00470480">
        <w:rPr>
          <w:rFonts w:ascii="Arial" w:hAnsi="Arial" w:cs="Arial"/>
          <w:b/>
          <w:bCs/>
          <w:sz w:val="20"/>
          <w:szCs w:val="20"/>
        </w:rPr>
        <w:t xml:space="preserve">Guidelines on import of gold by Qualified Jewellers as notified by – The International Financial Services </w:t>
      </w:r>
      <w:proofErr w:type="spellStart"/>
      <w:r w:rsidRPr="00470480">
        <w:rPr>
          <w:rFonts w:ascii="Arial" w:hAnsi="Arial" w:cs="Arial"/>
          <w:b/>
          <w:bCs/>
          <w:sz w:val="20"/>
          <w:szCs w:val="20"/>
        </w:rPr>
        <w:t>Centers</w:t>
      </w:r>
      <w:proofErr w:type="spellEnd"/>
      <w:r w:rsidRPr="00470480">
        <w:rPr>
          <w:rFonts w:ascii="Arial" w:hAnsi="Arial" w:cs="Arial"/>
          <w:b/>
          <w:bCs/>
          <w:sz w:val="20"/>
          <w:szCs w:val="20"/>
        </w:rPr>
        <w:t xml:space="preserve"> Authority (IFSCA)</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Directorate General of Foreign Trade (DGFT) formulate and implement the Foreign Trade Policy and Procedures in terms of Foreign Trade (Development and Regulation) Act, 1992, (FTDR Act 1992, hereinafter) as amended from time to time. In exercise of powers conferred by Section 3 read with Section 5 of FTDR Act 1992, read with paragraph 1.02 and 2.01 of the Foreign Trade Policy, 2015-2020, as amended from time to time, the Central Government has amended the import policy conditions for gold in any form, other than monetary gold and silver in any form under Chapter 71 of ITC (HS), 2017, Schedule-I (Import Policy) vide Notification No. 49/2015-2020 dated January 5, 2022.</w:t>
      </w:r>
    </w:p>
    <w:p w:rsidR="006A07B4" w:rsidRPr="00470480" w:rsidRDefault="006A07B4" w:rsidP="006A07B4">
      <w:pPr>
        <w:pStyle w:val="NormalWeb"/>
        <w:rPr>
          <w:rFonts w:ascii="Arial" w:hAnsi="Arial" w:cs="Arial"/>
          <w:sz w:val="20"/>
          <w:szCs w:val="20"/>
        </w:rPr>
      </w:pPr>
      <w:r w:rsidRPr="00470480">
        <w:rPr>
          <w:rFonts w:ascii="Arial" w:hAnsi="Arial" w:cs="Arial"/>
          <w:sz w:val="20"/>
          <w:szCs w:val="20"/>
        </w:rPr>
        <w:t xml:space="preserve">2. Attention of Authorised Dealer Category - I (AD) bank is invited to (a) Notification No. 49/2015-2020 dated January 5, 2022, in terms of which, in addition to nominated agencies as notified by RBI (in case of banks) and nominated agencies as notified by DGFT, Qualified Jewellers (QJ) as notified by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will be permitted to import gold under specific ITC(HS) Codes through India International Bullion Exchange IFSC Ltd. (IIBX); (b) </w:t>
      </w:r>
      <w:hyperlink r:id="rId12" w:tgtFrame="_blank" w:history="1">
        <w:r w:rsidRPr="00470480">
          <w:rPr>
            <w:rStyle w:val="Hyperlink"/>
            <w:rFonts w:ascii="Arial" w:hAnsi="Arial" w:cs="Arial"/>
            <w:sz w:val="20"/>
            <w:szCs w:val="20"/>
          </w:rPr>
          <w:t>Master Direction – Import of Goods and Services</w:t>
        </w:r>
      </w:hyperlink>
      <w:r w:rsidRPr="00470480">
        <w:rPr>
          <w:rFonts w:ascii="Arial" w:hAnsi="Arial" w:cs="Arial"/>
          <w:sz w:val="20"/>
          <w:szCs w:val="20"/>
        </w:rPr>
        <w:t xml:space="preserve"> and the AP Dir Series Circulars issued for import of Gold by Reserve Bank of India under FEMA, 1999; (c) regulations issued by the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under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Act, 2019.</w:t>
      </w:r>
    </w:p>
    <w:p w:rsidR="006A07B4" w:rsidRDefault="006A07B4" w:rsidP="006A07B4"/>
    <w:p w:rsidR="006A07B4" w:rsidRDefault="006A07B4" w:rsidP="006A07B4"/>
    <w:p w:rsidR="006A07B4" w:rsidRDefault="006A07B4" w:rsidP="006A07B4">
      <w:r>
        <w:t>More details can be referred to in the below link</w:t>
      </w:r>
    </w:p>
    <w:p w:rsidR="006A07B4" w:rsidRPr="00470480" w:rsidRDefault="006A07B4" w:rsidP="006A07B4">
      <w:pPr>
        <w:spacing w:after="0"/>
        <w:jc w:val="both"/>
        <w:rPr>
          <w:rFonts w:ascii="Arial" w:hAnsi="Arial" w:cs="Arial"/>
          <w:sz w:val="20"/>
          <w:szCs w:val="20"/>
        </w:rPr>
      </w:pPr>
      <w:r>
        <w:rPr>
          <w:rFonts w:ascii="Arial" w:hAnsi="Arial" w:cs="Arial"/>
          <w:sz w:val="20"/>
          <w:szCs w:val="20"/>
        </w:rPr>
        <w:t xml:space="preserve">Reference Link: </w:t>
      </w:r>
      <w:hyperlink r:id="rId13" w:history="1">
        <w:r w:rsidRPr="00470480">
          <w:rPr>
            <w:rStyle w:val="Hyperlink"/>
            <w:rFonts w:ascii="Arial" w:hAnsi="Arial" w:cs="Arial"/>
            <w:sz w:val="20"/>
            <w:szCs w:val="20"/>
          </w:rPr>
          <w:t>https://www.rbi.org.in/Scripts/NotificationUser.aspx?Id=12324&amp;Mode=0</w:t>
        </w:r>
      </w:hyperlink>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8F15A6" w:rsidRDefault="008F15A6">
      <w:pPr>
        <w:rPr>
          <w:rFonts w:ascii="Arial" w:hAnsi="Arial" w:cs="Arial"/>
          <w:sz w:val="20"/>
          <w:szCs w:val="20"/>
        </w:rPr>
      </w:pPr>
      <w:r>
        <w:rPr>
          <w:rFonts w:ascii="Arial" w:hAnsi="Arial" w:cs="Arial"/>
          <w:sz w:val="20"/>
          <w:szCs w:val="20"/>
        </w:rP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Reserve Bank of India (Financial Statements - Presentation and Disclosures) Directions, 2021 - Reporting of reverse repos with Reserve Bank on the bank’s balance sheet</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RBI/2022-23/55</w:t>
      </w:r>
      <w:r w:rsidRPr="00470480">
        <w:rPr>
          <w:rFonts w:ascii="Arial" w:hAnsi="Arial" w:cs="Arial"/>
          <w:color w:val="000000"/>
          <w:sz w:val="20"/>
          <w:szCs w:val="20"/>
        </w:rPr>
        <w:br/>
        <w:t>DOR.ACC.REC.No.37/21.04.018/2022-23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Reserve Bank of India (Financial Statements - Presentation and Disclosures) Directions, 2021 - Reporting of reverse repos with Reserve Bank on the bank’s balance sheet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‘Notes and Instructions for Compilation’ given in Part A of Annexure II to the </w:t>
      </w:r>
      <w:hyperlink r:id="rId14"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regarding the reporting of reverse repo transactions by the banks on their balance sheet.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order to bring more clarity on the presentation of reverse repo on the balance sheet, it has now been decided as under: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 All type of reverse repos with the Reserve Bank including those under Liquidity Adjustment Facility shall be presented under sub-item (ii) ‘In Other Accounts’ of item (II) ‘Balances with Reserve Bank of India’ under Schedule 6 ‘Cash and balances with Reserve Bank of India’.</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(b) Reverse repos with banks and other institutions having original tenors up to and inclusive of 14 days shall be classified under item (ii) ‘Money at call and short notice’ under Schedule 7 ‘Balances with banks and money at call and short notice’.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(c) Reverse repos with banks and other institutions having original tenors more than 14 days shall be classified under Schedule 9 – ‘Advances’ under the following heads:</w:t>
      </w:r>
    </w:p>
    <w:p w:rsidR="008F15A6" w:rsidRPr="00470480" w:rsidRDefault="008F15A6" w:rsidP="008F15A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A.(ii) ‘Cash credits, overdrafts and loans repayable on demand’</w:t>
      </w:r>
    </w:p>
    <w:p w:rsidR="008F15A6" w:rsidRPr="00470480" w:rsidRDefault="008F15A6" w:rsidP="008F15A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B.(</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‘Secured by tangible assets’</w:t>
      </w:r>
    </w:p>
    <w:p w:rsidR="008F15A6" w:rsidRPr="00470480" w:rsidRDefault="008F15A6" w:rsidP="008F15A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C.(I</w:t>
      </w:r>
      <w:proofErr w:type="gramStart"/>
      <w:r w:rsidRPr="00470480">
        <w:rPr>
          <w:rFonts w:ascii="Arial" w:hAnsi="Arial" w:cs="Arial"/>
          <w:color w:val="000000"/>
          <w:sz w:val="20"/>
          <w:szCs w:val="20"/>
        </w:rPr>
        <w:t>).(</w:t>
      </w:r>
      <w:proofErr w:type="gramEnd"/>
      <w:r w:rsidRPr="00470480">
        <w:rPr>
          <w:rFonts w:ascii="Arial" w:hAnsi="Arial" w:cs="Arial"/>
          <w:color w:val="000000"/>
          <w:sz w:val="20"/>
          <w:szCs w:val="20"/>
        </w:rPr>
        <w:t>iii) Banks (iv) ‘Others’ (as the case may be)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In addition, certain sections in the said Directions are being updated for editorial corrections as given in the </w:t>
      </w:r>
      <w:hyperlink r:id="rId15" w:anchor="A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The </w:t>
      </w:r>
      <w:hyperlink r:id="rId16"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stands updated to reflect these changes.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7" w:history="1">
        <w:r w:rsidRPr="00470480">
          <w:rPr>
            <w:rStyle w:val="Hyperlink"/>
            <w:rFonts w:ascii="Arial" w:hAnsi="Arial" w:cs="Arial"/>
            <w:sz w:val="20"/>
            <w:szCs w:val="20"/>
          </w:rPr>
          <w:t>https://www.rbi.org.in/Scripts/NotificationUser.aspx?Id=12322&amp;Mode=0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pPr>
        <w:rPr>
          <w:rFonts w:ascii="Arial" w:hAnsi="Arial" w:cs="Arial"/>
          <w:sz w:val="20"/>
          <w:szCs w:val="20"/>
        </w:rPr>
      </w:pPr>
      <w:r>
        <w:rPr>
          <w:rFonts w:ascii="Arial" w:hAnsi="Arial" w:cs="Arial"/>
          <w:sz w:val="20"/>
          <w:szCs w:val="20"/>
        </w:rPr>
        <w:br w:type="page"/>
      </w:r>
    </w:p>
    <w:p w:rsidR="008F15A6" w:rsidRPr="00470480" w:rsidRDefault="008F15A6" w:rsidP="008F15A6">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Guidelines on Compensation of Key Managerial Personnel (KMP) and Senior Management in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RBI/2022-23/36</w:t>
      </w:r>
      <w:r w:rsidRPr="00470480">
        <w:rPr>
          <w:rFonts w:ascii="Arial" w:hAnsi="Arial" w:cs="Arial"/>
          <w:color w:val="000000"/>
          <w:sz w:val="20"/>
          <w:szCs w:val="20"/>
        </w:rPr>
        <w:br/>
        <w:t>DOR.GOV.REC.No.29/18.10.002/2022-23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29,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Guidelines on Compensation of Key Managerial Personnel (KMP) and Senior Management in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As you are aware, a revised Scale Based Regulatory (SBR) framework for NBFCs was put in place vide </w:t>
      </w:r>
      <w:hyperlink r:id="rId18" w:tgtFrame="_blank" w:history="1">
        <w:r w:rsidRPr="00470480">
          <w:rPr>
            <w:rStyle w:val="Hyperlink"/>
            <w:rFonts w:ascii="Arial" w:hAnsi="Arial" w:cs="Arial"/>
            <w:sz w:val="20"/>
            <w:szCs w:val="20"/>
          </w:rPr>
          <w:t>circular DOR.CRE.REC.No.60/03.10.001/2021-22 October 22, 2021</w:t>
        </w:r>
      </w:hyperlink>
      <w:r w:rsidRPr="00470480">
        <w:rPr>
          <w:rFonts w:ascii="Arial" w:hAnsi="Arial" w:cs="Arial"/>
          <w:color w:val="000000"/>
          <w:sz w:val="20"/>
          <w:szCs w:val="20"/>
        </w:rPr>
        <w:t xml:space="preserve">. In terms of para 3.2.3 (h) of the said circular, in order to address issues arising out of excessive risk taking caused by misaligned compensation packages, NBFCs are required to put in place a Board approved compensation policy. The policy shall at the minimum include, (a) constitution of a Remuneration Committee, (b) principles for fixed/ variable pay structures, and (c) </w:t>
      </w:r>
      <w:proofErr w:type="spellStart"/>
      <w:r w:rsidRPr="00470480">
        <w:rPr>
          <w:rFonts w:ascii="Arial" w:hAnsi="Arial" w:cs="Arial"/>
          <w:color w:val="000000"/>
          <w:sz w:val="20"/>
          <w:szCs w:val="20"/>
        </w:rPr>
        <w:t>malus</w:t>
      </w:r>
      <w:proofErr w:type="spellEnd"/>
      <w:r w:rsidRPr="00470480">
        <w:rPr>
          <w:rFonts w:ascii="Arial" w:hAnsi="Arial" w:cs="Arial"/>
          <w:color w:val="000000"/>
          <w:sz w:val="20"/>
          <w:szCs w:val="20"/>
        </w:rPr>
        <w:t>/ clawback provisions. Further, in terms of para 3.2.3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it was also decided that the Board of NBFCs should delineate the role of various committees, including Nomination and Remuneration Committee (NRC). It was envisaged that detailed circulars will be issued in due course by the Reserve Bank. Accordingly, these guidelines have now been framed and furnished in </w:t>
      </w:r>
      <w:hyperlink r:id="rId19"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guidelines are intended only for providing broad guidance to NBFCs and their NRCs in formulating their compensation policy. While formulating the compensation policy, it has to be ensured that all statutory mandates and the rules and directions issued under them are fully complied with.</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These guidelines will be applicable for fixing the compensation policy of Key Managerial Personnel</w:t>
      </w:r>
      <w:hyperlink r:id="rId20"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members of senior management</w:t>
      </w:r>
      <w:hyperlink r:id="rId21"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of all Non-Banking Financial Companies under SBR framework, except those categorised under ‘Base Layer’</w:t>
      </w:r>
      <w:hyperlink r:id="rId22"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and Government owned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These guidelines shall come into effect from April 01, 2023.</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Yours faithfully</w:t>
      </w:r>
    </w:p>
    <w:p w:rsidR="008F15A6" w:rsidRPr="00470480" w:rsidRDefault="008F15A6" w:rsidP="008F15A6">
      <w:pPr>
        <w:pStyle w:val="head"/>
        <w:rPr>
          <w:rFonts w:ascii="Arial" w:hAnsi="Arial" w:cs="Arial"/>
          <w:b/>
          <w:bCs/>
          <w:color w:val="000000"/>
          <w:sz w:val="20"/>
          <w:szCs w:val="20"/>
        </w:rPr>
      </w:pPr>
      <w:r w:rsidRPr="00470480">
        <w:rPr>
          <w:rFonts w:ascii="Arial" w:hAnsi="Arial" w:cs="Arial"/>
          <w:b/>
          <w:bCs/>
          <w:color w:val="000000"/>
          <w:sz w:val="20"/>
          <w:szCs w:val="20"/>
        </w:rPr>
        <w:t>(</w:t>
      </w:r>
      <w:proofErr w:type="spellStart"/>
      <w:r w:rsidRPr="00470480">
        <w:rPr>
          <w:rFonts w:ascii="Arial" w:hAnsi="Arial" w:cs="Arial"/>
          <w:b/>
          <w:bCs/>
          <w:color w:val="000000"/>
          <w:sz w:val="20"/>
          <w:szCs w:val="20"/>
        </w:rPr>
        <w:t>Scenta</w:t>
      </w:r>
      <w:proofErr w:type="spellEnd"/>
      <w:r w:rsidRPr="00470480">
        <w:rPr>
          <w:rFonts w:ascii="Arial" w:hAnsi="Arial" w:cs="Arial"/>
          <w:b/>
          <w:bCs/>
          <w:color w:val="000000"/>
          <w:sz w:val="20"/>
          <w:szCs w:val="20"/>
        </w:rPr>
        <w:t xml:space="preserve"> Joy)</w:t>
      </w:r>
      <w:r w:rsidRPr="00470480">
        <w:rPr>
          <w:rFonts w:ascii="Arial" w:hAnsi="Arial" w:cs="Arial"/>
          <w:b/>
          <w:bCs/>
          <w:color w:val="000000"/>
          <w:sz w:val="20"/>
          <w:szCs w:val="20"/>
        </w:rPr>
        <w:br/>
        <w:t>Chief General Manager</w:t>
      </w:r>
    </w:p>
    <w:p w:rsidR="008F15A6" w:rsidRPr="00470480" w:rsidRDefault="008F15A6" w:rsidP="008F15A6">
      <w:pPr>
        <w:pStyle w:val="head"/>
        <w:rPr>
          <w:rFonts w:ascii="Arial" w:hAnsi="Arial" w:cs="Arial"/>
          <w:b/>
          <w:bCs/>
          <w:color w:val="000000"/>
          <w:sz w:val="20"/>
          <w:szCs w:val="20"/>
        </w:rPr>
      </w:pPr>
    </w:p>
    <w:p w:rsidR="008F15A6" w:rsidRPr="00470480" w:rsidRDefault="008F15A6" w:rsidP="008F15A6">
      <w:pPr>
        <w:pStyle w:val="head"/>
        <w:rPr>
          <w:rFonts w:ascii="Arial" w:hAnsi="Arial" w:cs="Arial"/>
          <w:bCs/>
          <w:color w:val="000000"/>
          <w:sz w:val="20"/>
          <w:szCs w:val="20"/>
        </w:rPr>
      </w:pPr>
      <w:r w:rsidRPr="00470480">
        <w:rPr>
          <w:rFonts w:ascii="Arial" w:hAnsi="Arial" w:cs="Arial"/>
          <w:bCs/>
          <w:color w:val="000000"/>
          <w:sz w:val="20"/>
          <w:szCs w:val="20"/>
        </w:rPr>
        <w:t xml:space="preserve">Reference Link: </w:t>
      </w:r>
      <w:hyperlink r:id="rId23" w:history="1">
        <w:r w:rsidRPr="00470480">
          <w:rPr>
            <w:rStyle w:val="Hyperlink"/>
            <w:rFonts w:ascii="Arial" w:hAnsi="Arial" w:cs="Arial"/>
            <w:bCs/>
            <w:sz w:val="20"/>
            <w:szCs w:val="20"/>
          </w:rPr>
          <w:t>https://www.rbi.org.in/Scripts/NotificationUser.aspx?Id=12303&amp;Mode=0</w:t>
        </w:r>
      </w:hyperlink>
    </w:p>
    <w:p w:rsidR="008F15A6" w:rsidRPr="00470480" w:rsidRDefault="008F15A6" w:rsidP="008F15A6">
      <w:pPr>
        <w:pStyle w:val="head"/>
        <w:rPr>
          <w:rFonts w:ascii="Arial" w:hAnsi="Arial" w:cs="Arial"/>
          <w:bCs/>
          <w:color w:val="000000"/>
          <w:sz w:val="20"/>
          <w:szCs w:val="20"/>
        </w:rPr>
      </w:pPr>
    </w:p>
    <w:p w:rsidR="008F15A6" w:rsidRDefault="008F15A6">
      <w:pPr>
        <w:rPr>
          <w:rFonts w:ascii="Arial" w:hAnsi="Arial" w:cs="Arial"/>
          <w:sz w:val="20"/>
          <w:szCs w:val="20"/>
        </w:rPr>
      </w:pPr>
      <w:r>
        <w:rPr>
          <w:rFonts w:ascii="Arial" w:hAnsi="Arial" w:cs="Arial"/>
          <w:sz w:val="20"/>
          <w:szCs w:val="20"/>
        </w:rPr>
        <w:br w:type="page"/>
      </w:r>
    </w:p>
    <w:p w:rsidR="008F15A6" w:rsidRPr="00470480" w:rsidRDefault="008F15A6" w:rsidP="008F15A6">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Legal Entity Identifier (LEI) for Borrowers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RBI/2022-23/34</w:t>
      </w:r>
      <w:r w:rsidRPr="00470480">
        <w:rPr>
          <w:rFonts w:ascii="Arial" w:hAnsi="Arial" w:cs="Arial"/>
          <w:color w:val="000000"/>
          <w:sz w:val="20"/>
          <w:szCs w:val="20"/>
        </w:rPr>
        <w:br/>
        <w:t>DOR.CRE.REC.28/21.04.048/2022-23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Regional Rural Banks),</w:t>
      </w:r>
      <w:r w:rsidRPr="00470480">
        <w:rPr>
          <w:rFonts w:ascii="Arial" w:hAnsi="Arial" w:cs="Arial"/>
          <w:color w:val="000000"/>
          <w:sz w:val="20"/>
          <w:szCs w:val="20"/>
        </w:rPr>
        <w:br/>
        <w:t>All India Financial Institutions,</w:t>
      </w:r>
      <w:r w:rsidRPr="00470480">
        <w:rPr>
          <w:rFonts w:ascii="Arial" w:hAnsi="Arial" w:cs="Arial"/>
          <w:color w:val="000000"/>
          <w:sz w:val="20"/>
          <w:szCs w:val="20"/>
        </w:rPr>
        <w:br/>
        <w:t>Small Finance Banks, Local Area Banks,</w:t>
      </w:r>
      <w:r w:rsidRPr="00470480">
        <w:rPr>
          <w:rFonts w:ascii="Arial" w:hAnsi="Arial" w:cs="Arial"/>
          <w:color w:val="000000"/>
          <w:sz w:val="20"/>
          <w:szCs w:val="20"/>
        </w:rPr>
        <w:br/>
        <w:t>Primary (Urban) Co-operative Banks, and</w:t>
      </w:r>
      <w:r w:rsidRPr="00470480">
        <w:rPr>
          <w:rFonts w:ascii="Arial" w:hAnsi="Arial" w:cs="Arial"/>
          <w:color w:val="000000"/>
          <w:sz w:val="20"/>
          <w:szCs w:val="20"/>
        </w:rPr>
        <w:br/>
        <w:t>Non-Banking Financial Companies (including Housing Finance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Legal Entity Identifier (LEI) for Borrowers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Para 3 of </w:t>
      </w:r>
      <w:hyperlink r:id="rId24" w:tgtFrame="_blank" w:history="1">
        <w:r w:rsidRPr="00470480">
          <w:rPr>
            <w:rStyle w:val="Hyperlink"/>
            <w:rFonts w:ascii="Arial" w:hAnsi="Arial" w:cs="Arial"/>
            <w:sz w:val="20"/>
            <w:szCs w:val="20"/>
          </w:rPr>
          <w:t>DBR.No.BP.BC.92/21.04.048/2017-18 dated November 2, 2017</w:t>
        </w:r>
      </w:hyperlink>
      <w:r w:rsidRPr="00470480">
        <w:rPr>
          <w:rFonts w:ascii="Arial" w:hAnsi="Arial" w:cs="Arial"/>
          <w:color w:val="000000"/>
          <w:sz w:val="20"/>
          <w:szCs w:val="20"/>
        </w:rPr>
        <w:t>, on the captioned subject.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guidelines on LEI stand extended to Primary (Urban) Co-operative Banks (UCBs) and Non-Banking Financial Companies (NBFCs). It is further advised that non-individual borrowers enjoying aggregate exposure of ₹5 crore and above from banks</w:t>
      </w:r>
      <w:hyperlink r:id="rId25"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financial institutions (FIs)</w:t>
      </w:r>
      <w:hyperlink r:id="rId26"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shall be required to obtain LEI codes as per the timeline given in the </w:t>
      </w:r>
      <w:hyperlink r:id="rId27"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“Exposure” for this purpose shall include all fund based and non-fund based (credit as well as investment) exposure of banks/FIs to the borrower. Aggregate sanctioned limit or outstanding balance, whichever is higher, shall be reckoned for the purpose. Lenders may ascertain the position of aggregate exposure based on information available either with them, or CRILC database or declaration obtained from the borrower.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c) Borrowers who fail to obtain LEI codes from an authorized Local Operating Unit (LOU) shall not be sanctioned any new exposure nor shall they be granted renewal/enhancement of any existing exposure. However, Departments/Agencies</w:t>
      </w:r>
      <w:hyperlink r:id="rId28"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of Central and State Governments (not Public Sector Undertakings registered under Companies Act or established as Corporation under the relevant statute) shall be exempted from this provision.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These directions are issued under sections 21, 35A and 56 of the Banking Regulation Act, 1949, sections 45JA and 45L of the Reserve Bank of India Act, 1934, section 30A of the National Housing Bank Act, 1987 and section 6 of the Factoring Regulation Act, 2011.</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spacing w:before="100" w:beforeAutospacing="1" w:after="100" w:afterAutospacing="1" w:line="240" w:lineRule="auto"/>
        <w:rPr>
          <w:rFonts w:ascii="Arial" w:eastAsia="Times New Roman" w:hAnsi="Arial" w:cs="Arial"/>
          <w:color w:val="000000"/>
          <w:sz w:val="20"/>
          <w:szCs w:val="20"/>
          <w:lang w:eastAsia="en-IN"/>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9" w:history="1">
        <w:r w:rsidRPr="00470480">
          <w:rPr>
            <w:rStyle w:val="Hyperlink"/>
            <w:rFonts w:ascii="Arial" w:hAnsi="Arial" w:cs="Arial"/>
            <w:sz w:val="20"/>
            <w:szCs w:val="20"/>
          </w:rPr>
          <w:t>https://www.rbi.org.in/Scripts/NotificationUser.aspx?Id=12301&amp;Mode=0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Master Direction – Credit Card and Debit Card – Issuance and Conduct Directions,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RBI/2022-23/92</w:t>
      </w:r>
      <w:r w:rsidRPr="00470480">
        <w:rPr>
          <w:rFonts w:ascii="Arial" w:hAnsi="Arial" w:cs="Arial"/>
          <w:color w:val="000000"/>
          <w:sz w:val="20"/>
          <w:szCs w:val="20"/>
        </w:rPr>
        <w:br/>
        <w:t>DoR.AUT.REC.No.27/24.01.041/2022-23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Credit Card and Debit Card – Issuance and Conduct Directions, 2022</w:t>
      </w:r>
    </w:p>
    <w:p w:rsidR="008F15A6"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Sections 35A and Section 56 of the Banking Regulation Act, 1949 and Chapter IIIB of the Reserve Bank of India Act, 1934, the Reserve Bank of India being satisfied that it is necessary and expedient in the public interest so to do, hereby, issues the Directions hereinafter specified.</w:t>
      </w:r>
    </w:p>
    <w:p w:rsidR="008F15A6" w:rsidRPr="005373C0" w:rsidRDefault="008F15A6" w:rsidP="008F15A6">
      <w:r>
        <w:t>The direction details on the following:</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I: </w:t>
      </w:r>
      <w:r w:rsidRPr="00470480">
        <w:rPr>
          <w:rFonts w:ascii="Arial" w:hAnsi="Arial" w:cs="Arial"/>
          <w:b/>
          <w:bCs/>
          <w:color w:val="000000"/>
          <w:sz w:val="20"/>
          <w:szCs w:val="20"/>
        </w:rPr>
        <w:t>PRELIMINARY</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II: </w:t>
      </w:r>
      <w:r w:rsidRPr="00470480">
        <w:rPr>
          <w:rFonts w:ascii="Arial" w:hAnsi="Arial" w:cs="Arial"/>
          <w:b/>
          <w:bCs/>
          <w:color w:val="000000"/>
          <w:sz w:val="20"/>
          <w:szCs w:val="20"/>
        </w:rPr>
        <w:t>CONDUCT OF CREDIT CARD BUSINESS</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III: </w:t>
      </w:r>
      <w:r w:rsidRPr="00470480">
        <w:rPr>
          <w:rFonts w:ascii="Arial" w:hAnsi="Arial" w:cs="Arial"/>
          <w:b/>
          <w:bCs/>
          <w:color w:val="000000"/>
          <w:sz w:val="20"/>
          <w:szCs w:val="20"/>
        </w:rPr>
        <w:t>ISSUE OF DEBIT CARD BY BANKS</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IV: </w:t>
      </w:r>
      <w:r w:rsidRPr="00470480">
        <w:rPr>
          <w:rFonts w:ascii="Arial" w:hAnsi="Arial" w:cs="Arial"/>
          <w:b/>
          <w:bCs/>
          <w:color w:val="000000"/>
          <w:sz w:val="20"/>
          <w:szCs w:val="20"/>
        </w:rPr>
        <w:t>CO-BRANDING ARRANGEMENT</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V: </w:t>
      </w:r>
      <w:r w:rsidRPr="00470480">
        <w:rPr>
          <w:rFonts w:ascii="Arial" w:hAnsi="Arial" w:cs="Arial"/>
          <w:b/>
          <w:bCs/>
          <w:color w:val="000000"/>
          <w:sz w:val="20"/>
          <w:szCs w:val="20"/>
        </w:rPr>
        <w:t>GENERAL GUIDELINES FOR CREDIT AND DEBIT CARDS</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VI: </w:t>
      </w:r>
      <w:r w:rsidRPr="00470480">
        <w:rPr>
          <w:rFonts w:ascii="Arial" w:hAnsi="Arial" w:cs="Arial"/>
          <w:b/>
          <w:bCs/>
          <w:color w:val="000000"/>
          <w:sz w:val="20"/>
          <w:szCs w:val="20"/>
        </w:rPr>
        <w:t>MISCELLANEOUS</w:t>
      </w:r>
    </w:p>
    <w:p w:rsidR="008F15A6" w:rsidRPr="00470480" w:rsidRDefault="008F15A6" w:rsidP="008F15A6">
      <w:pPr>
        <w:pStyle w:val="head"/>
        <w:rPr>
          <w:rFonts w:ascii="Arial" w:hAnsi="Arial" w:cs="Arial"/>
          <w:b/>
          <w:bCs/>
          <w:color w:val="000000"/>
          <w:sz w:val="20"/>
          <w:szCs w:val="20"/>
        </w:rPr>
      </w:pPr>
      <w:r>
        <w:rPr>
          <w:rFonts w:ascii="Arial" w:hAnsi="Arial" w:cs="Arial"/>
          <w:b/>
          <w:bCs/>
          <w:color w:val="000000"/>
          <w:sz w:val="20"/>
          <w:szCs w:val="20"/>
        </w:rPr>
        <w:t xml:space="preserve">CHAPTER – VII: </w:t>
      </w:r>
      <w:r w:rsidRPr="00470480">
        <w:rPr>
          <w:rFonts w:ascii="Arial" w:hAnsi="Arial" w:cs="Arial"/>
          <w:b/>
          <w:bCs/>
          <w:color w:val="000000"/>
          <w:sz w:val="20"/>
          <w:szCs w:val="20"/>
        </w:rPr>
        <w:t>EXEMPTIONS, INTERPRETATIONS AND REPEAL</w:t>
      </w:r>
    </w:p>
    <w:p w:rsidR="008F15A6" w:rsidRDefault="008F15A6" w:rsidP="008F15A6">
      <w:pPr>
        <w:pStyle w:val="NormalWeb"/>
        <w:rPr>
          <w:rFonts w:ascii="Arial" w:hAnsi="Arial" w:cs="Arial"/>
          <w:color w:val="000000"/>
          <w:sz w:val="20"/>
          <w:szCs w:val="20"/>
        </w:rPr>
      </w:pPr>
    </w:p>
    <w:p w:rsidR="008F15A6" w:rsidRDefault="008F15A6" w:rsidP="008F15A6">
      <w:pPr>
        <w:pStyle w:val="NormalWeb"/>
        <w:rPr>
          <w:rFonts w:ascii="Arial" w:hAnsi="Arial" w:cs="Arial"/>
          <w:color w:val="000000"/>
          <w:sz w:val="20"/>
          <w:szCs w:val="20"/>
        </w:rPr>
      </w:pPr>
      <w:r w:rsidRPr="0073686B">
        <w:rPr>
          <w:rFonts w:ascii="Arial" w:hAnsi="Arial" w:cs="Arial"/>
          <w:color w:val="000000"/>
          <w:sz w:val="20"/>
          <w:szCs w:val="20"/>
        </w:rPr>
        <w:t>Details under each of the above chapters can be read from the below link</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0" w:history="1">
        <w:r w:rsidRPr="00470480">
          <w:rPr>
            <w:rStyle w:val="Hyperlink"/>
            <w:rFonts w:ascii="Arial" w:hAnsi="Arial" w:cs="Arial"/>
            <w:sz w:val="20"/>
            <w:szCs w:val="20"/>
          </w:rPr>
          <w:t>https://www.rbi.org.in/Scripts/NotificationUser.aspx?Id=12300&amp;Mode=0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Creation of Honorary Designations at Board level in Urban Co-operative Banks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RBI/2022-23/33</w:t>
      </w:r>
      <w:r w:rsidRPr="00470480">
        <w:rPr>
          <w:rFonts w:ascii="Arial" w:hAnsi="Arial" w:cs="Arial"/>
          <w:color w:val="000000"/>
          <w:sz w:val="20"/>
          <w:szCs w:val="20"/>
        </w:rPr>
        <w:br/>
        <w:t>DOR.GOV.REC.No.26/18.10.004/2022-23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Creation of Honorary Designations at Board level in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It has been observed during the course of supervisory reviews that some of the Urban Co-operative Banks (UCBs) have adopted the practice of creating honorary designations (remunerated or otherwise)/conferring titles at Board level, such as Chairman Emeritus, Group Chairman, etc., which are not recognised in applicable statutes or regulations.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While such positions/titles may be indicative of certain privileges/rights for the incumbent to access all board materials and participate in board/committee meetings, enforcing liability or obligations on such person may be difficult. Such positions may be seen as creating conflicts of interest as well as creation of a parallel or shadow authority impeding effective and independent functioning of the legally constituted board in the best interest of all its stakeholders.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As such, UCBs are directed not to create any honorary positions/titles at Board level or confer such titles that are non-statutory in nature and to eliminate any such existing position/titles within one year from date of this circular.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These directions are issued under Section 35A and Section 36(1)(d) of the Banking Regulation Act, 1949 (AACS).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Shrimohan</w:t>
      </w:r>
      <w:proofErr w:type="spellEnd"/>
      <w:r w:rsidRPr="00470480">
        <w:rPr>
          <w:rFonts w:ascii="Arial" w:hAnsi="Arial" w:cs="Arial"/>
          <w:color w:val="000000"/>
          <w:sz w:val="20"/>
          <w:szCs w:val="20"/>
        </w:rPr>
        <w:t xml:space="preserve"> Yadav)</w:t>
      </w:r>
      <w:r w:rsidRPr="00470480">
        <w:rPr>
          <w:rFonts w:ascii="Arial" w:hAnsi="Arial" w:cs="Arial"/>
          <w:color w:val="000000"/>
          <w:sz w:val="20"/>
          <w:szCs w:val="20"/>
        </w:rPr>
        <w:br/>
        <w:t>Chief General Manager</w:t>
      </w: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31" w:history="1">
        <w:r w:rsidRPr="00470480">
          <w:rPr>
            <w:rStyle w:val="Hyperlink"/>
            <w:rFonts w:ascii="Arial" w:hAnsi="Arial" w:cs="Arial"/>
            <w:sz w:val="20"/>
            <w:szCs w:val="20"/>
          </w:rPr>
          <w:t>https://www.rbi.org.in/Scripts/NotificationUser.aspx?Id=12299&amp;Mode=0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State Co-operative Banks and District Central Co-operative Banks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RBI/2022-23/31</w:t>
      </w:r>
      <w:r w:rsidRPr="00470480">
        <w:rPr>
          <w:rFonts w:ascii="Arial" w:hAnsi="Arial" w:cs="Arial"/>
          <w:color w:val="000000"/>
          <w:sz w:val="20"/>
          <w:szCs w:val="20"/>
        </w:rPr>
        <w:br/>
        <w:t>DOR.CAP.REC.22/09.18.201/2022-23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State and Central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State Co-operative Banks and District Central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for Rural Co-operative Banks (RCBs), i.e. State Co-operative Banks (</w:t>
      </w:r>
      <w:proofErr w:type="spellStart"/>
      <w:r w:rsidRPr="00470480">
        <w:rPr>
          <w:rFonts w:ascii="Arial" w:hAnsi="Arial" w:cs="Arial"/>
          <w:color w:val="000000"/>
          <w:sz w:val="20"/>
          <w:szCs w:val="20"/>
        </w:rPr>
        <w:t>StCBs</w:t>
      </w:r>
      <w:proofErr w:type="spellEnd"/>
      <w:r w:rsidRPr="00470480">
        <w:rPr>
          <w:rFonts w:ascii="Arial" w:hAnsi="Arial" w:cs="Arial"/>
          <w:color w:val="000000"/>
          <w:sz w:val="20"/>
          <w:szCs w:val="20"/>
        </w:rPr>
        <w:t>) and District Central Co-operative Banks (DCCBs).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RCBs on issue and regulation of capital funds have been reviewed keeping in view, inter alia, the provisions of Section 12 read with Section 56 of the amended Banking Regulation Act, 1949 (BR Act).</w:t>
      </w:r>
    </w:p>
    <w:p w:rsidR="008F15A6" w:rsidRDefault="008F15A6" w:rsidP="008F15A6">
      <w:pPr>
        <w:pStyle w:val="head"/>
        <w:jc w:val="both"/>
        <w:rPr>
          <w:rFonts w:ascii="Arial" w:hAnsi="Arial" w:cs="Arial"/>
          <w:bCs/>
          <w:color w:val="000000"/>
          <w:sz w:val="20"/>
          <w:szCs w:val="20"/>
        </w:rPr>
      </w:pPr>
    </w:p>
    <w:p w:rsidR="008F15A6" w:rsidRDefault="008F15A6" w:rsidP="008F15A6">
      <w:pPr>
        <w:pStyle w:val="head"/>
        <w:jc w:val="both"/>
        <w:rPr>
          <w:rFonts w:ascii="Arial" w:hAnsi="Arial" w:cs="Arial"/>
          <w:bCs/>
          <w:color w:val="000000"/>
          <w:sz w:val="20"/>
          <w:szCs w:val="20"/>
        </w:rPr>
      </w:pPr>
    </w:p>
    <w:p w:rsidR="008F15A6" w:rsidRDefault="008F15A6" w:rsidP="008F15A6">
      <w:pPr>
        <w:pStyle w:val="head"/>
        <w:spacing w:before="0" w:beforeAutospacing="0"/>
        <w:jc w:val="both"/>
        <w:rPr>
          <w:rFonts w:ascii="Arial" w:hAnsi="Arial" w:cs="Arial"/>
          <w:bCs/>
          <w:color w:val="000000"/>
          <w:sz w:val="20"/>
          <w:szCs w:val="20"/>
        </w:rPr>
      </w:pPr>
      <w:r w:rsidRPr="005F6218">
        <w:rPr>
          <w:rFonts w:ascii="Arial" w:hAnsi="Arial" w:cs="Arial"/>
          <w:bCs/>
          <w:color w:val="000000"/>
          <w:sz w:val="20"/>
          <w:szCs w:val="20"/>
        </w:rPr>
        <w:t>For information on Augmentation of capital funds, Refund of share capital, Repeal and Effective Date refer to the link below.</w:t>
      </w:r>
    </w:p>
    <w:p w:rsidR="008F15A6" w:rsidRPr="005F6218" w:rsidRDefault="008F15A6" w:rsidP="008F15A6">
      <w:pPr>
        <w:pStyle w:val="head"/>
        <w:spacing w:before="0" w:beforeAutospacing="0"/>
        <w:jc w:val="both"/>
        <w:rPr>
          <w:rFonts w:ascii="Arial" w:hAnsi="Arial" w:cs="Arial"/>
          <w:bCs/>
          <w:color w:val="000000"/>
          <w:sz w:val="20"/>
          <w:szCs w:val="20"/>
        </w:rPr>
      </w:pPr>
      <w:r w:rsidRPr="00470480">
        <w:rPr>
          <w:rFonts w:ascii="Arial" w:hAnsi="Arial" w:cs="Arial"/>
          <w:color w:val="000000"/>
          <w:sz w:val="20"/>
          <w:szCs w:val="20"/>
        </w:rPr>
        <w:t xml:space="preserve">Reference Link: </w:t>
      </w:r>
      <w:hyperlink r:id="rId32" w:history="1">
        <w:r w:rsidRPr="00470480">
          <w:rPr>
            <w:rStyle w:val="Hyperlink"/>
            <w:rFonts w:ascii="Arial" w:hAnsi="Arial" w:cs="Arial"/>
            <w:sz w:val="20"/>
            <w:szCs w:val="20"/>
          </w:rPr>
          <w:t>https://www.rbi.org.in/Scripts/NotificationUser.aspx?Id=12297&amp;Mode=0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Scale Based Regulation (SBR) for NBFCs: Capital requirements for Non-Banking Finance Companies – Upper Layer (NBFC-UL)</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RBI/2022-23/30</w:t>
      </w:r>
      <w:r w:rsidRPr="00470480">
        <w:rPr>
          <w:rFonts w:ascii="Arial" w:hAnsi="Arial" w:cs="Arial"/>
          <w:color w:val="000000"/>
          <w:sz w:val="20"/>
          <w:szCs w:val="20"/>
        </w:rPr>
        <w:br/>
        <w:t>DOR.CAP.REC.No.21/21.06.201/2022-23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Scale Based Regulation (SBR) for NBFCs: Capital requirements for Non-Banking Finance Companies – Upper Layer (NBFC-UL)</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33"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terms of paragraph 3.2.1 (b) of the circular ibid, NBFC-UL shall maintain Common Equity Tier 1 capital of at least 9 per cent of Risk Weighted Assets. The detailed guidelines in this regard are provided below:</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3.1. NBFC-UL shall maintain, on an on-going basis, Common Equity Tier 1 (CET1) ratio of at least 9 per cent, where,</w:t>
      </w:r>
    </w:p>
    <w:p w:rsidR="008F15A6" w:rsidRPr="00470480" w:rsidRDefault="008F15A6" w:rsidP="008F15A6">
      <w:pPr>
        <w:jc w:val="center"/>
        <w:rPr>
          <w:rFonts w:ascii="Arial" w:hAnsi="Arial" w:cs="Arial"/>
          <w:color w:val="000000"/>
          <w:sz w:val="20"/>
          <w:szCs w:val="20"/>
        </w:rPr>
      </w:pPr>
      <w:r w:rsidRPr="00470480">
        <w:rPr>
          <w:rFonts w:ascii="Arial" w:hAnsi="Arial" w:cs="Arial"/>
          <w:noProof/>
          <w:color w:val="000000"/>
          <w:sz w:val="20"/>
          <w:szCs w:val="20"/>
          <w:lang w:eastAsia="en-IN"/>
        </w:rPr>
        <w:drawing>
          <wp:inline distT="0" distB="0" distL="0" distR="0" wp14:anchorId="4B736C14" wp14:editId="26061A0D">
            <wp:extent cx="5048250" cy="542925"/>
            <wp:effectExtent l="0" t="0" r="0" b="9525"/>
            <wp:docPr id="1" name="Picture 1" descr="Common Equity Tier 1 (CET1)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 Equity Tier 1 (CET1) rati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0" cy="542925"/>
                    </a:xfrm>
                    <a:prstGeom prst="rect">
                      <a:avLst/>
                    </a:prstGeom>
                    <a:noFill/>
                    <a:ln>
                      <a:noFill/>
                    </a:ln>
                  </pic:spPr>
                </pic:pic>
              </a:graphicData>
            </a:graphic>
          </wp:inline>
        </w:drawing>
      </w: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r>
        <w:rPr>
          <w:rFonts w:ascii="Arial" w:hAnsi="Arial" w:cs="Arial"/>
          <w:sz w:val="20"/>
          <w:szCs w:val="20"/>
        </w:rPr>
        <w:t xml:space="preserve">For more details, </w:t>
      </w:r>
      <w:r>
        <w:t>the link to the notification is placed below.</w:t>
      </w: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35" w:history="1">
        <w:r w:rsidRPr="00470480">
          <w:rPr>
            <w:rStyle w:val="Hyperlink"/>
            <w:rFonts w:ascii="Arial" w:hAnsi="Arial" w:cs="Arial"/>
            <w:sz w:val="20"/>
            <w:szCs w:val="20"/>
          </w:rPr>
          <w:t>https://www.rbi.org.in/Scripts/NotificationUser.aspx?Id=12296&amp;Mode=0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RBI/2022-23/29</w:t>
      </w:r>
      <w:r w:rsidRPr="00470480">
        <w:rPr>
          <w:rFonts w:ascii="Arial" w:hAnsi="Arial" w:cs="Arial"/>
          <w:color w:val="000000"/>
          <w:sz w:val="20"/>
          <w:szCs w:val="20"/>
        </w:rPr>
        <w:br/>
        <w:t>DOR.CRE.REC.No.25/03.10.001/2022-23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terms of para 3.2.2 (c) and para 3.2.3 (b) &amp; (c) of the </w:t>
      </w:r>
      <w:hyperlink r:id="rId36" w:tgtFrame="_blank" w:history="1">
        <w:r w:rsidRPr="00470480">
          <w:rPr>
            <w:rStyle w:val="Hyperlink"/>
            <w:rFonts w:ascii="Arial" w:hAnsi="Arial" w:cs="Arial"/>
            <w:sz w:val="20"/>
            <w:szCs w:val="20"/>
          </w:rPr>
          <w:t>circular on Scale Based Regulation (SBR): A Revised Regulatory Framework for NBFCs issued on October 22, 2021</w:t>
        </w:r>
      </w:hyperlink>
      <w:r w:rsidRPr="00470480">
        <w:rPr>
          <w:rFonts w:ascii="Arial" w:hAnsi="Arial" w:cs="Arial"/>
          <w:color w:val="000000"/>
          <w:sz w:val="20"/>
          <w:szCs w:val="20"/>
        </w:rPr>
        <w:t>, certain regulatory restrictions on lending were introduced in respect of NBFCs placed in different layers. Detailed guidelines in this regard are placed as </w:t>
      </w:r>
      <w:hyperlink r:id="rId37" w:anchor="AN" w:history="1">
        <w:r w:rsidRPr="00470480">
          <w:rPr>
            <w:rStyle w:val="Hyperlink"/>
            <w:rFonts w:ascii="Arial" w:hAnsi="Arial" w:cs="Arial"/>
            <w:sz w:val="20"/>
            <w:szCs w:val="20"/>
          </w:rPr>
          <w:t>Annex</w:t>
        </w:r>
      </w:hyperlink>
      <w:r w:rsidRPr="00470480">
        <w:rPr>
          <w:rFonts w:ascii="Arial" w:hAnsi="Arial" w:cs="Arial"/>
          <w:color w:val="000000"/>
          <w:sz w:val="20"/>
          <w:szCs w:val="20"/>
        </w:rPr>
        <w:t> to this circular.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These guidelines shall be effective from October 01,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38" w:history="1">
        <w:r w:rsidRPr="00470480">
          <w:rPr>
            <w:rStyle w:val="Hyperlink"/>
            <w:rFonts w:ascii="Arial" w:hAnsi="Arial" w:cs="Arial"/>
            <w:sz w:val="20"/>
            <w:szCs w:val="20"/>
          </w:rPr>
          <w:t>https://www.rbi.org.in/Scripts/NotificationUser.aspx?Id=12294&amp;Mode=0</w:t>
        </w:r>
      </w:hyperlink>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ab/>
      </w: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39"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40"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41"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42" w:history="1">
        <w:r w:rsidRPr="00470480">
          <w:rPr>
            <w:rStyle w:val="Hyperlink"/>
            <w:rFonts w:ascii="Arial" w:hAnsi="Arial" w:cs="Arial"/>
            <w:sz w:val="20"/>
            <w:szCs w:val="20"/>
          </w:rPr>
          <w:t>https://www.rbi.org.in/Scripts/NotificationUser.aspx?Id=12293&amp;Mode=0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RBI/2022-23/26</w:t>
      </w:r>
      <w:r w:rsidRPr="00470480">
        <w:rPr>
          <w:rFonts w:ascii="Arial" w:hAnsi="Arial" w:cs="Arial"/>
          <w:color w:val="000000"/>
          <w:sz w:val="20"/>
          <w:szCs w:val="20"/>
        </w:rPr>
        <w:br/>
        <w:t>DOR.ACC.REC.No.20/21.04.018/2022-23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43"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which inter-alia envisages certain specific disclosures.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Non-Banking Finance Companies (NBFCs) are required to make disclosures in their financial statements in accordance with existing prudential guidelines, applicable accounting standards, laws, and regulations. The additional disclosure requirements for NBFCs in accordance with the SBR framework are outlined in the </w:t>
      </w:r>
      <w:hyperlink r:id="rId44" w:tgtFrame="_blank"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These disclosures are in addition to and not in substitution of the disclosure requirements specified under other laws, regulations, or accounting and financial reporting standards. More comprehensive disclosures than the minimum required are encouraged, especially if such disclosures significantly aid in the understanding of the financial position and performance.</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NBFCs. The Annex specifies the applicability of specific disclosure requirements to specific NBFC layers as per Scale Based Regulation. It may be noted that disclosure requirements applicable to lower layers of NBFCs will be applicable to NBFCs in higher layers. These guidelines shall be effective for annual financial statements for year ending March 31, 2023, and onwards.</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Links: </w:t>
      </w:r>
      <w:hyperlink r:id="rId45" w:history="1">
        <w:r w:rsidRPr="00470480">
          <w:rPr>
            <w:rStyle w:val="Hyperlink"/>
            <w:rFonts w:ascii="Arial" w:hAnsi="Arial" w:cs="Arial"/>
            <w:sz w:val="20"/>
            <w:szCs w:val="20"/>
          </w:rPr>
          <w:t>https://www.rbi.org.in/Scripts/NotificationUser.aspx?Id=12292&amp;Mode=0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RBI/2022-23/25</w:t>
      </w:r>
      <w:r w:rsidRPr="00470480">
        <w:rPr>
          <w:rFonts w:ascii="Arial" w:hAnsi="Arial" w:cs="Arial"/>
          <w:color w:val="000000"/>
          <w:sz w:val="20"/>
          <w:szCs w:val="20"/>
        </w:rPr>
        <w:br/>
        <w:t>DOR.LRG.REC.19/21.04.098/2022-23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18,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46" w:tgtFrame="_blank" w:history="1">
        <w:r w:rsidRPr="00470480">
          <w:rPr>
            <w:rStyle w:val="Hyperlink"/>
            <w:rFonts w:ascii="Arial" w:hAnsi="Arial" w:cs="Arial"/>
            <w:sz w:val="20"/>
            <w:szCs w:val="20"/>
          </w:rPr>
          <w:t>circular DOR.BP.BC.No.65/21.04.098/2019-20 dated April 17, 2020</w:t>
        </w:r>
      </w:hyperlink>
      <w:r w:rsidRPr="00470480">
        <w:rPr>
          <w:rFonts w:ascii="Arial" w:hAnsi="Arial" w:cs="Arial"/>
          <w:color w:val="000000"/>
          <w:sz w:val="20"/>
          <w:szCs w:val="20"/>
        </w:rPr>
        <w:t> on Basel III Framework on Liquidity Standards – Liquidity Coverage Ratio (LCR).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terms of the circular ibid, the assets allowed as Level 1 High Quality Liquid Assets (HQLAs) for the purpose of computing the LCR, inter alia, include (a) Government securities in excess of the mandatory SLR requirement and (b) within the mandatory SLR requirement, Government securities to the extent allowed under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Marginal Standing Facility (MSF) and (ii) Facility to Avail Liquidity for Liquidity Coverage Ratio (FALLCR) [15 per cent of the banks’ Net Demand and Time Liabilities (NDTL)].</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Since MSF has been reduced to 2 per cent from 3 per cent of NDTL from January 1, 2022, the total HQLA carve out from the mandatory SLR, which can be reckoned for meeting LCR requirement, has reduced to 17 per cent of NDTL (2 per cent MSF plus 15 per cent FALLCR) from 18 percent.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On a review, it has been decided to permit banks to reckon Government securities as Level 1 HQLA under FALLCR within the mandatory SLR requirement up to 16 per cent of their NDTL. Accordingly, the total HQLA carve out from the mandatory SLR, which can be reckoned for meeting LCR requirement will be 18 per cent of NDTL (2 per cent MSF plus 16 per cent FALLCR).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5. This circular is applicable to all Commercial Banks other than Regional Rural Banks, Local Area Banks and Payments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6. These instructions shall come into force with immediate effect.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47" w:history="1">
        <w:r w:rsidRPr="00470480">
          <w:rPr>
            <w:rStyle w:val="Hyperlink"/>
            <w:rFonts w:ascii="Arial" w:hAnsi="Arial" w:cs="Arial"/>
            <w:sz w:val="20"/>
            <w:szCs w:val="20"/>
          </w:rPr>
          <w:t>https://www.rbi.org.in/Scripts/NotificationUser.aspx?Id=12291&amp;Mode=0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b/>
          <w:bCs/>
          <w:color w:val="000000"/>
          <w:sz w:val="20"/>
          <w:szCs w:val="20"/>
        </w:rPr>
      </w:pPr>
      <w:r w:rsidRPr="00470480">
        <w:rPr>
          <w:rFonts w:ascii="Arial" w:hAnsi="Arial" w:cs="Arial"/>
          <w:b/>
          <w:bCs/>
          <w:color w:val="000000"/>
          <w:sz w:val="20"/>
          <w:szCs w:val="20"/>
        </w:rPr>
        <w:t>Compliance Function and Role of Chief Compliance Officer (CCO) –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RBI/2022-23/24</w:t>
      </w:r>
      <w:r w:rsidRPr="00470480">
        <w:rPr>
          <w:rFonts w:ascii="Arial" w:hAnsi="Arial" w:cs="Arial"/>
          <w:color w:val="000000"/>
          <w:sz w:val="20"/>
          <w:szCs w:val="20"/>
        </w:rPr>
        <w:br/>
      </w:r>
      <w:proofErr w:type="spellStart"/>
      <w:r w:rsidRPr="00470480">
        <w:rPr>
          <w:rFonts w:ascii="Arial" w:hAnsi="Arial" w:cs="Arial"/>
          <w:color w:val="000000"/>
          <w:sz w:val="20"/>
          <w:szCs w:val="20"/>
        </w:rPr>
        <w:t>Ref.No.DoS.CO.PPG</w:t>
      </w:r>
      <w:proofErr w:type="spellEnd"/>
      <w:r w:rsidRPr="00470480">
        <w:rPr>
          <w:rFonts w:ascii="Arial" w:hAnsi="Arial" w:cs="Arial"/>
          <w:color w:val="000000"/>
          <w:sz w:val="20"/>
          <w:szCs w:val="20"/>
        </w:rPr>
        <w:t>./SEC.01/11.01.005/2022-23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Non-Banking Financial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Compliance Function and Role of Chief Compliance Officer (CCO) -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Reserve Bank’s guidelines on ‘Scale Based Regulation (SBR): A Revised Regulatory Framework for NBFCs’ issued vide </w:t>
      </w:r>
      <w:hyperlink r:id="rId48"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Ref.DOR.CRE</w:t>
        </w:r>
        <w:proofErr w:type="spellEnd"/>
        <w:r w:rsidRPr="00470480">
          <w:rPr>
            <w:rStyle w:val="Hyperlink"/>
            <w:rFonts w:ascii="Arial" w:hAnsi="Arial" w:cs="Arial"/>
            <w:sz w:val="20"/>
            <w:szCs w:val="20"/>
          </w:rPr>
          <w:t>. REC.No.60/03.10.001/2021-22 dated October 22, 2021</w:t>
        </w:r>
      </w:hyperlink>
      <w:hyperlink r:id="rId49"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As indicated therein, Non-Banking Financial Companies in the Upper Layer (NBFC-UL) and Middle Layer (NBFC-ML) would be required, inter alia, to have an independent Compliance Function and a Chief Compliance Officer (CCO). Accordingly, this Circular shall be applicable to all NBFC-UL and NBFC-ML. NBFCs in the Base Layer (NBFC-BL) shall continue to be governed under the existing guidelines</w:t>
      </w:r>
      <w:hyperlink r:id="rId50"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As part of the overall structure for Corporate Governance, Compliance Function serves a critical role. Accordingly, it has been decided to introduce certain principles, standards and procedures for Compliance Function in NBFC-UL and NBFC-ML, keeping in view the principles of proportionality.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NBFC-UL and NBFC-ML shall put in place a Board approved policy and a Compliance Function, including the appointment of a Chief Compliance Officer (CCO), based on the Framework given in the </w:t>
      </w:r>
      <w:hyperlink r:id="rId51" w:anchor="AN1" w:history="1">
        <w:r w:rsidRPr="00470480">
          <w:rPr>
            <w:rStyle w:val="Hyperlink"/>
            <w:rFonts w:ascii="Arial" w:hAnsi="Arial" w:cs="Arial"/>
            <w:sz w:val="20"/>
            <w:szCs w:val="20"/>
          </w:rPr>
          <w:t>Annex</w:t>
        </w:r>
      </w:hyperlink>
      <w:r w:rsidRPr="00470480">
        <w:rPr>
          <w:rFonts w:ascii="Arial" w:hAnsi="Arial" w:cs="Arial"/>
          <w:color w:val="000000"/>
          <w:sz w:val="20"/>
          <w:szCs w:val="20"/>
        </w:rPr>
        <w:t>, latest by April 1, 2023 and October 1, 2023, respectively.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This Circular shall be placed in the immediate next meeting of the Board of Directors for information and devising an implementation strategy, under the Board’s supervision, in a time-bound manner.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(Arnab Kumar Chowdhury)</w:t>
      </w:r>
      <w:r w:rsidRPr="00470480">
        <w:rPr>
          <w:rFonts w:ascii="Arial" w:hAnsi="Arial" w:cs="Arial"/>
          <w:color w:val="000000"/>
          <w:sz w:val="20"/>
          <w:szCs w:val="20"/>
        </w:rPr>
        <w:br/>
        <w:t>Chief General Manager-In-Charge</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Encl.: Annex</w:t>
      </w: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52" w:history="1">
        <w:r w:rsidRPr="00470480">
          <w:rPr>
            <w:rStyle w:val="Hyperlink"/>
            <w:rFonts w:ascii="Arial" w:hAnsi="Arial" w:cs="Arial"/>
            <w:sz w:val="20"/>
            <w:szCs w:val="20"/>
          </w:rPr>
          <w:t>https://www.rbi.org.in/Scripts/NotificationUser.aspx?Id=12290&amp;Mode=0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3"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5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55"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8F15A6" w:rsidRPr="00470480" w:rsidTr="008F15A6">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56" w:anchor="1" w:history="1">
              <w:r w:rsidRPr="00470480">
                <w:rPr>
                  <w:rStyle w:val="Hyperlink"/>
                  <w:rFonts w:ascii="Arial" w:hAnsi="Arial" w:cs="Arial"/>
                  <w:sz w:val="20"/>
                  <w:szCs w:val="20"/>
                </w:rPr>
                <w:t>Introduction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57" w:anchor="2" w:history="1">
              <w:r w:rsidRPr="00470480">
                <w:rPr>
                  <w:rStyle w:val="Hyperlink"/>
                  <w:rFonts w:ascii="Arial" w:hAnsi="Arial" w:cs="Arial"/>
                  <w:sz w:val="20"/>
                  <w:szCs w:val="20"/>
                </w:rPr>
                <w:t>Working Capital Requirements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58" w:anchor="3" w:history="1">
              <w:r w:rsidRPr="00470480">
                <w:rPr>
                  <w:rStyle w:val="Hyperlink"/>
                  <w:rFonts w:ascii="Arial" w:hAnsi="Arial" w:cs="Arial"/>
                  <w:sz w:val="20"/>
                  <w:szCs w:val="20"/>
                </w:rPr>
                <w:t>Loan System for delivery of bank credit</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59" w:anchor="4" w:history="1">
              <w:r w:rsidRPr="00470480">
                <w:rPr>
                  <w:rStyle w:val="Hyperlink"/>
                  <w:rFonts w:ascii="Arial" w:hAnsi="Arial" w:cs="Arial"/>
                  <w:sz w:val="20"/>
                  <w:szCs w:val="20"/>
                </w:rPr>
                <w:t>Credit Administration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0" w:anchor="5" w:history="1">
              <w:r w:rsidRPr="00470480">
                <w:rPr>
                  <w:rStyle w:val="Hyperlink"/>
                  <w:rFonts w:ascii="Arial" w:hAnsi="Arial" w:cs="Arial"/>
                  <w:sz w:val="20"/>
                  <w:szCs w:val="20"/>
                </w:rPr>
                <w:t>Exchange of credit information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1" w:anchor="6" w:history="1">
              <w:r w:rsidRPr="00470480">
                <w:rPr>
                  <w:rStyle w:val="Hyperlink"/>
                  <w:rFonts w:ascii="Arial" w:hAnsi="Arial" w:cs="Arial"/>
                  <w:sz w:val="20"/>
                  <w:szCs w:val="20"/>
                </w:rPr>
                <w:t>Prudential Guidelines on Restructuring of Advances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2" w:anchor="7" w:history="1">
              <w:r w:rsidRPr="00470480">
                <w:rPr>
                  <w:rStyle w:val="Hyperlink"/>
                  <w:rFonts w:ascii="Arial" w:hAnsi="Arial" w:cs="Arial"/>
                  <w:sz w:val="20"/>
                  <w:szCs w:val="20"/>
                </w:rPr>
                <w:t>Specific Lending Activities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3" w:anchor="8" w:history="1">
              <w:r w:rsidRPr="00470480">
                <w:rPr>
                  <w:rStyle w:val="Hyperlink"/>
                  <w:rFonts w:ascii="Arial" w:hAnsi="Arial" w:cs="Arial"/>
                  <w:sz w:val="20"/>
                  <w:szCs w:val="20"/>
                </w:rPr>
                <w:t>Discounting/Rediscounting of Bills by Banks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4" w:anchor="9" w:history="1">
              <w:r w:rsidRPr="00470480">
                <w:rPr>
                  <w:rStyle w:val="Hyperlink"/>
                  <w:rFonts w:ascii="Arial" w:hAnsi="Arial" w:cs="Arial"/>
                  <w:sz w:val="20"/>
                  <w:szCs w:val="20"/>
                </w:rPr>
                <w:t>Loans to Self Help Groups (SHGs) / Joint Liability Groups (JLGs)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5" w:anchor="10" w:history="1">
              <w:r w:rsidRPr="00470480">
                <w:rPr>
                  <w:rStyle w:val="Hyperlink"/>
                  <w:rFonts w:ascii="Arial" w:hAnsi="Arial" w:cs="Arial"/>
                  <w:sz w:val="20"/>
                  <w:szCs w:val="20"/>
                </w:rPr>
                <w:t>Revival of Interest Tax Act, 1974</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6" w:anchor="11" w:history="1">
              <w:r w:rsidRPr="00470480">
                <w:rPr>
                  <w:rStyle w:val="Hyperlink"/>
                  <w:rFonts w:ascii="Arial" w:hAnsi="Arial" w:cs="Arial"/>
                  <w:sz w:val="20"/>
                  <w:szCs w:val="20"/>
                </w:rPr>
                <w:t>Relief measures to be extended in areas affected by natural calamities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7" w:anchor="AN1" w:history="1">
              <w:r w:rsidRPr="00470480">
                <w:rPr>
                  <w:rStyle w:val="Hyperlink"/>
                  <w:rFonts w:ascii="Arial" w:hAnsi="Arial" w:cs="Arial"/>
                  <w:sz w:val="20"/>
                  <w:szCs w:val="20"/>
                </w:rPr>
                <w:t xml:space="preserve">Annex - 1 Guidelines on Valuation of Properties – Empanelment of </w:t>
              </w:r>
              <w:proofErr w:type="spellStart"/>
              <w:r w:rsidRPr="00470480">
                <w:rPr>
                  <w:rStyle w:val="Hyperlink"/>
                  <w:rFonts w:ascii="Arial" w:hAnsi="Arial" w:cs="Arial"/>
                  <w:sz w:val="20"/>
                  <w:szCs w:val="20"/>
                </w:rPr>
                <w:t>Valuers</w:t>
              </w:r>
              <w:proofErr w:type="spellEnd"/>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8" w:anchor="AN2" w:history="1">
              <w:r w:rsidRPr="00470480">
                <w:rPr>
                  <w:rStyle w:val="Hyperlink"/>
                  <w:rFonts w:ascii="Arial" w:hAnsi="Arial" w:cs="Arial"/>
                  <w:sz w:val="20"/>
                  <w:szCs w:val="20"/>
                </w:rPr>
                <w:t>Annex - 2 Guidelines for Relief Measures by Banks in Areas Affected by Natural Calamities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69" w:anchor="AN3" w:history="1">
              <w:r w:rsidRPr="00470480">
                <w:rPr>
                  <w:rStyle w:val="Hyperlink"/>
                  <w:rFonts w:ascii="Arial" w:hAnsi="Arial" w:cs="Arial"/>
                  <w:sz w:val="20"/>
                  <w:szCs w:val="20"/>
                </w:rPr>
                <w:t xml:space="preserve">Annex - 3 Format for reporting of </w:t>
              </w:r>
              <w:proofErr w:type="spellStart"/>
              <w:r w:rsidRPr="00470480">
                <w:rPr>
                  <w:rStyle w:val="Hyperlink"/>
                  <w:rFonts w:ascii="Arial" w:hAnsi="Arial" w:cs="Arial"/>
                  <w:sz w:val="20"/>
                  <w:szCs w:val="20"/>
                </w:rPr>
                <w:t>borrowal</w:t>
              </w:r>
              <w:proofErr w:type="spellEnd"/>
              <w:r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70" w:anchor="AN4" w:history="1">
              <w:r w:rsidRPr="00470480">
                <w:rPr>
                  <w:rStyle w:val="Hyperlink"/>
                  <w:rFonts w:ascii="Arial" w:hAnsi="Arial" w:cs="Arial"/>
                  <w:sz w:val="20"/>
                  <w:szCs w:val="20"/>
                </w:rPr>
                <w:t>Annex - 4 Definition of Micro, Small and Medium Enterprises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71" w:anchor="AN5" w:history="1">
              <w:r w:rsidRPr="00470480">
                <w:rPr>
                  <w:rStyle w:val="Hyperlink"/>
                  <w:rFonts w:ascii="Arial" w:hAnsi="Arial" w:cs="Arial"/>
                  <w:sz w:val="20"/>
                  <w:szCs w:val="20"/>
                </w:rPr>
                <w:t>Annex - 5 Safeguards-Advances against pledge of Gold/Silver ornaments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72" w:anchor="AN6" w:history="1">
              <w:r w:rsidRPr="00470480">
                <w:rPr>
                  <w:rStyle w:val="Hyperlink"/>
                  <w:rFonts w:ascii="Arial" w:hAnsi="Arial" w:cs="Arial"/>
                  <w:sz w:val="20"/>
                  <w:szCs w:val="20"/>
                </w:rPr>
                <w:t>Annex - 6 Recommendations of the Committee to Recommended Data Format of Credit Information to CICs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73" w:anchor="AN7" w:history="1">
              <w:r w:rsidRPr="00470480">
                <w:rPr>
                  <w:rStyle w:val="Hyperlink"/>
                  <w:rFonts w:ascii="Arial" w:hAnsi="Arial" w:cs="Arial"/>
                  <w:sz w:val="20"/>
                  <w:szCs w:val="20"/>
                </w:rPr>
                <w:t>Annex - 7 Credit information reporting in respect of Self Help Group (SHG) members</w:t>
              </w:r>
            </w:hyperlink>
          </w:p>
        </w:tc>
      </w:tr>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74" w:anchor="AP" w:history="1">
              <w:r w:rsidRPr="00470480">
                <w:rPr>
                  <w:rStyle w:val="Hyperlink"/>
                  <w:rFonts w:ascii="Arial" w:hAnsi="Arial" w:cs="Arial"/>
                  <w:sz w:val="20"/>
                  <w:szCs w:val="20"/>
                </w:rPr>
                <w:t>Appendix List of circulars consolidated in the Master Circular</w:t>
              </w:r>
            </w:hyperlink>
          </w:p>
        </w:tc>
      </w:tr>
    </w:tbl>
    <w:p w:rsidR="008F15A6" w:rsidRDefault="008F15A6" w:rsidP="008F15A6">
      <w:pPr>
        <w:pStyle w:val="NormalWeb"/>
        <w:jc w:val="both"/>
        <w:rPr>
          <w:rFonts w:ascii="Arial" w:hAnsi="Arial" w:cs="Arial"/>
          <w:color w:val="000000"/>
          <w:sz w:val="20"/>
          <w:szCs w:val="20"/>
        </w:rPr>
      </w:pPr>
    </w:p>
    <w:p w:rsidR="008F15A6" w:rsidRDefault="008F15A6" w:rsidP="008F15A6">
      <w:pPr>
        <w:pStyle w:val="NormalWeb"/>
        <w:jc w:val="both"/>
        <w:rPr>
          <w:rFonts w:ascii="Arial" w:hAnsi="Arial" w:cs="Arial"/>
          <w:color w:val="000000"/>
          <w:sz w:val="20"/>
          <w:szCs w:val="20"/>
        </w:rPr>
      </w:pPr>
    </w:p>
    <w:p w:rsidR="008F15A6" w:rsidRDefault="008F15A6" w:rsidP="008F15A6">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75" w:history="1">
        <w:r w:rsidRPr="00470480">
          <w:rPr>
            <w:rStyle w:val="Hyperlink"/>
            <w:rFonts w:ascii="Arial" w:hAnsi="Arial" w:cs="Arial"/>
            <w:sz w:val="20"/>
            <w:szCs w:val="20"/>
          </w:rPr>
          <w:t>https://www.rbi.org.in/Scripts/NotificationUser.aspx?Id=12288&amp;Mode=0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Review of SLR holdings in HTM category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RBI/2022-23/21</w:t>
      </w:r>
      <w:r w:rsidRPr="00470480">
        <w:rPr>
          <w:rFonts w:ascii="Arial" w:hAnsi="Arial" w:cs="Arial"/>
          <w:color w:val="000000"/>
          <w:sz w:val="20"/>
          <w:szCs w:val="20"/>
        </w:rPr>
        <w:br/>
        <w:t>DOR.MRG.REC.14/21.04.141/2022-23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08,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Review of SLR holdings in HTM category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w:t>
      </w:r>
      <w:hyperlink r:id="rId76" w:tgtFrame="_blank" w:history="1">
        <w:r w:rsidRPr="00470480">
          <w:rPr>
            <w:rStyle w:val="Hyperlink"/>
            <w:rFonts w:ascii="Arial" w:hAnsi="Arial" w:cs="Arial"/>
            <w:sz w:val="20"/>
            <w:szCs w:val="20"/>
          </w:rPr>
          <w:t>Statement on Development and Regulatory Policies</w:t>
        </w:r>
      </w:hyperlink>
      <w:r w:rsidRPr="00470480">
        <w:rPr>
          <w:rFonts w:ascii="Arial" w:hAnsi="Arial" w:cs="Arial"/>
          <w:color w:val="000000"/>
          <w:sz w:val="20"/>
          <w:szCs w:val="20"/>
        </w:rPr>
        <w:t> of the </w:t>
      </w:r>
      <w:hyperlink r:id="rId77" w:tgtFrame="_blank" w:history="1">
        <w:r w:rsidRPr="00470480">
          <w:rPr>
            <w:rStyle w:val="Hyperlink"/>
            <w:rFonts w:ascii="Arial" w:hAnsi="Arial" w:cs="Arial"/>
            <w:sz w:val="20"/>
            <w:szCs w:val="20"/>
          </w:rPr>
          <w:t>Monetary Policy Statement, 2022-23 dated April 08, 2022</w:t>
        </w:r>
      </w:hyperlink>
      <w:r w:rsidRPr="00470480">
        <w:rPr>
          <w:rFonts w:ascii="Arial" w:hAnsi="Arial" w:cs="Arial"/>
          <w:color w:val="000000"/>
          <w:sz w:val="20"/>
          <w:szCs w:val="20"/>
        </w:rPr>
        <w:t> and Section 6(iv)(a) of </w:t>
      </w:r>
      <w:hyperlink r:id="rId78" w:tgtFrame="_blank" w:history="1">
        <w:r w:rsidRPr="00470480">
          <w:rPr>
            <w:rStyle w:val="Hyperlink"/>
            <w:rFonts w:ascii="Arial" w:hAnsi="Arial" w:cs="Arial"/>
            <w:sz w:val="20"/>
            <w:szCs w:val="20"/>
          </w:rPr>
          <w:t>Master Direction - Classification, Valuation and Operation of Investment Portfolio of Commercial Banks (Directions), 2021 dated August 25, 2021</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At present, banks have been granted a special dispensation of enhanced Held to Maturity (HTM) limit of 22 per cent of Net Demand and Time Liabilities (NDTL), for Statutory Liquidity Ratio (SLR) eligible securities acquired between September 1, 2020 and March 31, 2022, until March 31, 2023.</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On a review, it has now been decided to further enhance the existing HTM limit of 22 per cent of NDTL to 23 per cent of NDTL and allow banks to include securities acquired between April 1, 2022 and March 31, 2023 under the enhanced limit of 23 per cent.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The enhanced HTM limit of 23 per cent shall be restored to 19.5 percent in a phased manner, beginning from the quarter ending June 30, 2023, i.e. the excess SLR securities acquired by banks during the period September 1, 2020 to March 31, 2023 shall be progressively reduced such that the total SLR securities held in the HTM category as a percentage of the NDTL do not exceed:</w:t>
      </w:r>
    </w:p>
    <w:p w:rsidR="008F15A6" w:rsidRPr="00470480" w:rsidRDefault="008F15A6" w:rsidP="00CB6DAF">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22.00 per cent as on June 30, 2023</w:t>
      </w:r>
    </w:p>
    <w:p w:rsidR="008F15A6" w:rsidRPr="00470480" w:rsidRDefault="008F15A6" w:rsidP="00CB6DAF">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21.00 per cent as on September 30, 2023</w:t>
      </w:r>
    </w:p>
    <w:p w:rsidR="008F15A6" w:rsidRPr="00470480" w:rsidRDefault="008F15A6" w:rsidP="00CB6DAF">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20.00 per cent as on December 31, 2023</w:t>
      </w:r>
    </w:p>
    <w:p w:rsidR="008F15A6" w:rsidRPr="00470480" w:rsidRDefault="008F15A6" w:rsidP="00CB6DAF">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19.50 per cent as on March 31, 2024</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other instructions shall remain unchanged.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79" w:history="1">
        <w:r w:rsidRPr="00470480">
          <w:rPr>
            <w:rStyle w:val="Hyperlink"/>
            <w:rFonts w:ascii="Arial" w:hAnsi="Arial" w:cs="Arial"/>
            <w:sz w:val="20"/>
            <w:szCs w:val="20"/>
          </w:rPr>
          <w:t>https://www.rbi.org.in/Scripts/NotificationUser.aspx?Id=12287&amp;Mode=0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Individual Housing Loans – Rationalisation of Risk Weights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RBI/2022-23/20</w:t>
      </w:r>
      <w:r w:rsidRPr="00470480">
        <w:rPr>
          <w:rFonts w:ascii="Arial" w:hAnsi="Arial" w:cs="Arial"/>
          <w:color w:val="000000"/>
          <w:sz w:val="20"/>
          <w:szCs w:val="20"/>
        </w:rPr>
        <w:br/>
        <w:t>DOR.CRE.REC.13/08.12.015/2022-23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Local Area Banks and Regional Rural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Individual Housing Loans – Rationalisation of Risk Weights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80" w:tgtFrame="_blank" w:history="1">
        <w:r w:rsidRPr="00470480">
          <w:rPr>
            <w:rStyle w:val="Hyperlink"/>
            <w:rFonts w:ascii="Arial" w:hAnsi="Arial" w:cs="Arial"/>
            <w:sz w:val="20"/>
            <w:szCs w:val="20"/>
          </w:rPr>
          <w:t>circular DOR.No.BP.BC.24/08.12.015/2020-21 dated October 16, 2020</w:t>
        </w:r>
      </w:hyperlink>
      <w:r w:rsidRPr="00470480">
        <w:rPr>
          <w:rFonts w:ascii="Arial" w:hAnsi="Arial" w:cs="Arial"/>
          <w:color w:val="000000"/>
          <w:sz w:val="20"/>
          <w:szCs w:val="20"/>
        </w:rPr>
        <w:t> on rationalization of risk weights on Individual Housing Loans in terms of which risk weights were rationalised irrespective of the amount, for all new housing loans sanctioned from October 16, 2020 and up to March 31,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On review, it has been decided to continue with the risk weights contained in the circular ibid for all new individual housing loans sanctioned up to March 31, 2023. All other instructions applicable in terms of the </w:t>
      </w:r>
      <w:hyperlink r:id="rId81" w:tgtFrame="_blank" w:history="1">
        <w:r w:rsidRPr="00470480">
          <w:rPr>
            <w:rStyle w:val="Hyperlink"/>
            <w:rFonts w:ascii="Arial" w:hAnsi="Arial" w:cs="Arial"/>
            <w:sz w:val="20"/>
            <w:szCs w:val="20"/>
          </w:rPr>
          <w:t>circular dated October 16, 2020</w:t>
        </w:r>
      </w:hyperlink>
      <w:r w:rsidRPr="00470480">
        <w:rPr>
          <w:rFonts w:ascii="Arial" w:hAnsi="Arial" w:cs="Arial"/>
          <w:color w:val="000000"/>
          <w:sz w:val="20"/>
          <w:szCs w:val="20"/>
        </w:rPr>
        <w:t> remain unchanged.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2" w:history="1">
        <w:r w:rsidRPr="00470480">
          <w:rPr>
            <w:rStyle w:val="Hyperlink"/>
            <w:rFonts w:ascii="Arial" w:hAnsi="Arial" w:cs="Arial"/>
            <w:sz w:val="20"/>
            <w:szCs w:val="20"/>
          </w:rPr>
          <w:t>https://www.rbi.org.in/Scripts/NotificationUser.aspx?Id=12286&amp;Mode=0</w:t>
        </w:r>
      </w:hyperlink>
    </w:p>
    <w:p w:rsidR="008F15A6" w:rsidRPr="00470480" w:rsidRDefault="008F15A6" w:rsidP="008F15A6">
      <w:pPr>
        <w:pStyle w:val="NormalWeb"/>
        <w:rPr>
          <w:rFonts w:ascii="Arial" w:hAnsi="Arial" w:cs="Arial"/>
          <w:b/>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83"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8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85"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F15A6" w:rsidRDefault="008F15A6" w:rsidP="008F15A6">
      <w:pPr>
        <w:spacing w:before="240" w:after="240"/>
        <w:rPr>
          <w:rFonts w:ascii="Arial" w:hAnsi="Arial" w:cs="Arial"/>
          <w:sz w:val="20"/>
          <w:szCs w:val="20"/>
        </w:rPr>
      </w:pPr>
    </w:p>
    <w:p w:rsidR="008F15A6" w:rsidRDefault="008F15A6" w:rsidP="008F15A6">
      <w:pPr>
        <w:spacing w:before="240" w:after="240"/>
        <w:rPr>
          <w:rFonts w:ascii="Arial" w:hAnsi="Arial" w:cs="Arial"/>
          <w:sz w:val="20"/>
          <w:szCs w:val="20"/>
        </w:rPr>
      </w:pPr>
    </w:p>
    <w:p w:rsidR="008F15A6" w:rsidRPr="001942B3" w:rsidRDefault="008F15A6" w:rsidP="008F15A6">
      <w:pPr>
        <w:spacing w:before="240" w:after="240"/>
        <w:rPr>
          <w:rFonts w:ascii="Arial" w:hAnsi="Arial" w:cs="Arial"/>
          <w:sz w:val="20"/>
          <w:szCs w:val="20"/>
        </w:rPr>
      </w:pPr>
      <w:r>
        <w:rPr>
          <w:rFonts w:ascii="Arial" w:hAnsi="Arial" w:cs="Arial"/>
          <w:sz w:val="20"/>
          <w:szCs w:val="20"/>
        </w:rPr>
        <w:t xml:space="preserve">For the detailed Master Circular on </w:t>
      </w:r>
      <w:r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86" w:history="1">
        <w:r w:rsidRPr="00470480">
          <w:rPr>
            <w:rStyle w:val="Hyperlink"/>
            <w:rFonts w:ascii="Arial" w:hAnsi="Arial" w:cs="Arial"/>
            <w:sz w:val="20"/>
            <w:szCs w:val="20"/>
          </w:rPr>
          <w:t>https://www.rbi.org.in/Scripts/NotificationUser.aspx?Id=12283&amp;Mode=0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8F15A6" w:rsidRDefault="008F15A6" w:rsidP="008F15A6">
      <w:pPr>
        <w:pStyle w:val="NormalWeb"/>
        <w:spacing w:before="0" w:beforeAutospacing="0"/>
        <w:jc w:val="both"/>
        <w:rPr>
          <w:rFonts w:ascii="Arial" w:hAnsi="Arial" w:cs="Arial"/>
          <w:color w:val="000000"/>
          <w:sz w:val="20"/>
          <w:szCs w:val="20"/>
        </w:rPr>
      </w:pPr>
    </w:p>
    <w:p w:rsidR="008F15A6" w:rsidRPr="00470480" w:rsidRDefault="008F15A6" w:rsidP="008F15A6">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RBI/2022-23/16</w:t>
      </w:r>
      <w:r w:rsidRPr="00470480">
        <w:rPr>
          <w:rFonts w:ascii="Arial" w:hAnsi="Arial" w:cs="Arial"/>
          <w:color w:val="000000"/>
          <w:sz w:val="20"/>
          <w:szCs w:val="20"/>
        </w:rPr>
        <w:br/>
        <w:t>DOR.CRE.REC.No.06/08.12.001/2022-23</w:t>
      </w:r>
    </w:p>
    <w:p w:rsidR="008F15A6" w:rsidRPr="00470480" w:rsidRDefault="008F15A6" w:rsidP="008F15A6">
      <w:pPr>
        <w:pStyle w:val="NormalWeb"/>
        <w:spacing w:before="0" w:beforeAutospacing="0"/>
        <w:jc w:val="right"/>
        <w:rPr>
          <w:rFonts w:ascii="Arial" w:hAnsi="Arial" w:cs="Arial"/>
          <w:color w:val="000000"/>
          <w:sz w:val="20"/>
          <w:szCs w:val="20"/>
        </w:rPr>
      </w:pPr>
      <w:r w:rsidRPr="00470480">
        <w:rPr>
          <w:rFonts w:ascii="Arial" w:hAnsi="Arial" w:cs="Arial"/>
          <w:color w:val="000000"/>
          <w:sz w:val="20"/>
          <w:szCs w:val="20"/>
        </w:rPr>
        <w:t>April 01, 2022</w:t>
      </w:r>
    </w:p>
    <w:p w:rsidR="008F15A6" w:rsidRPr="00470480" w:rsidRDefault="008F15A6" w:rsidP="008F15A6">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8F15A6" w:rsidRDefault="008F15A6" w:rsidP="008F15A6">
      <w:pPr>
        <w:pStyle w:val="NormalWeb"/>
        <w:spacing w:before="0" w:beforeAutospacing="0"/>
        <w:jc w:val="both"/>
        <w:rPr>
          <w:rFonts w:ascii="Arial" w:hAnsi="Arial" w:cs="Arial"/>
          <w:color w:val="000000"/>
          <w:sz w:val="20"/>
          <w:szCs w:val="20"/>
        </w:rPr>
      </w:pPr>
      <w:r>
        <w:rPr>
          <w:rFonts w:ascii="Arial" w:hAnsi="Arial" w:cs="Arial"/>
          <w:color w:val="000000"/>
          <w:sz w:val="20"/>
          <w:szCs w:val="20"/>
        </w:rPr>
        <w:t>Dear Sir/Madam,</w:t>
      </w:r>
    </w:p>
    <w:p w:rsidR="008F15A6" w:rsidRPr="001942B3" w:rsidRDefault="008F15A6" w:rsidP="008F15A6">
      <w:pPr>
        <w:pStyle w:val="NormalWeb"/>
        <w:spacing w:before="0" w:beforeAutospacing="0"/>
        <w:jc w:val="center"/>
        <w:rPr>
          <w:rFonts w:ascii="Arial" w:hAnsi="Arial" w:cs="Arial"/>
          <w:color w:val="000000"/>
          <w:sz w:val="20"/>
          <w:szCs w:val="20"/>
        </w:rPr>
      </w:pPr>
      <w:r w:rsidRPr="00470480">
        <w:rPr>
          <w:rFonts w:ascii="Arial" w:hAnsi="Arial" w:cs="Arial"/>
          <w:b/>
          <w:bCs/>
          <w:color w:val="000000"/>
          <w:sz w:val="20"/>
          <w:szCs w:val="20"/>
        </w:rPr>
        <w:t>Master Circular – Housing Finance</w:t>
      </w:r>
    </w:p>
    <w:p w:rsidR="008F15A6" w:rsidRPr="00470480" w:rsidRDefault="008F15A6" w:rsidP="008F15A6">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Please refer to the </w:t>
      </w:r>
      <w:hyperlink r:id="rId87" w:tgtFrame="_blank" w:history="1">
        <w:r w:rsidRPr="00470480">
          <w:rPr>
            <w:rStyle w:val="Hyperlink"/>
            <w:rFonts w:ascii="Arial" w:hAnsi="Arial" w:cs="Arial"/>
            <w:sz w:val="20"/>
            <w:szCs w:val="20"/>
          </w:rPr>
          <w:t>Master Circular DOR.CRE.REC.No.87/08.12.001/2021-22 dated February 18, 2022</w:t>
        </w:r>
      </w:hyperlink>
      <w:r w:rsidRPr="00470480">
        <w:rPr>
          <w:rFonts w:ascii="Arial" w:hAnsi="Arial" w:cs="Arial"/>
          <w:color w:val="000000"/>
          <w:sz w:val="20"/>
          <w:szCs w:val="20"/>
        </w:rPr>
        <w:t> consolidating the instructions / guidelines issued to banks till February 17, 2022 relating to Housing Finance. This</w:t>
      </w:r>
      <w:hyperlink r:id="rId88" w:anchor="MC" w:history="1">
        <w:r w:rsidRPr="00470480">
          <w:rPr>
            <w:rStyle w:val="Hyperlink"/>
            <w:rFonts w:ascii="Arial" w:hAnsi="Arial" w:cs="Arial"/>
            <w:sz w:val="20"/>
            <w:szCs w:val="20"/>
          </w:rPr>
          <w:t> Master Circular</w:t>
        </w:r>
      </w:hyperlink>
      <w:r w:rsidRPr="00470480">
        <w:rPr>
          <w:rFonts w:ascii="Arial" w:hAnsi="Arial" w:cs="Arial"/>
          <w:color w:val="000000"/>
          <w:sz w:val="20"/>
          <w:szCs w:val="20"/>
        </w:rPr>
        <w:t> consolidates instructions on the above matter issued up to March 31, 2022.</w:t>
      </w:r>
    </w:p>
    <w:p w:rsidR="008F15A6" w:rsidRPr="00470480" w:rsidRDefault="008F15A6" w:rsidP="008F15A6">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spacing w:before="0" w:beforeAutospacing="0"/>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6559"/>
      </w:tblGrid>
      <w:tr w:rsidR="008F15A6" w:rsidRPr="00470480" w:rsidTr="008F15A6">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b/>
                <w:bCs/>
                <w:color w:val="000000"/>
                <w:sz w:val="20"/>
                <w:szCs w:val="20"/>
              </w:rPr>
              <w:t>CONTENTS</w:t>
            </w:r>
          </w:p>
        </w:tc>
      </w:tr>
      <w:tr w:rsidR="008F15A6" w:rsidRPr="00470480" w:rsidTr="008F15A6">
        <w:trPr>
          <w:jc w:val="center"/>
        </w:trPr>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b/>
                <w:bCs/>
                <w:color w:val="000000"/>
                <w:sz w:val="20"/>
                <w:szCs w:val="20"/>
              </w:rPr>
              <w:t>Sr. No.</w:t>
            </w:r>
          </w:p>
        </w:tc>
        <w:tc>
          <w:tcPr>
            <w:tcW w:w="4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b/>
                <w:bCs/>
                <w:color w:val="000000"/>
                <w:sz w:val="20"/>
                <w:szCs w:val="20"/>
              </w:rPr>
              <w:t>Particulars</w:t>
            </w:r>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89" w:anchor="S1" w:history="1">
              <w:r w:rsidRPr="00470480">
                <w:rPr>
                  <w:rStyle w:val="Hyperlink"/>
                  <w:rFonts w:ascii="Arial" w:hAnsi="Arial" w:cs="Arial"/>
                  <w:sz w:val="20"/>
                  <w:szCs w:val="20"/>
                </w:rPr>
                <w:t>Purpose</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0" w:anchor="S2" w:history="1">
              <w:r w:rsidRPr="00470480">
                <w:rPr>
                  <w:rStyle w:val="Hyperlink"/>
                  <w:rFonts w:ascii="Arial" w:hAnsi="Arial" w:cs="Arial"/>
                  <w:sz w:val="20"/>
                  <w:szCs w:val="20"/>
                </w:rPr>
                <w:t>Classification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1" w:anchor="S3" w:history="1">
              <w:r w:rsidRPr="00470480">
                <w:rPr>
                  <w:rStyle w:val="Hyperlink"/>
                  <w:rFonts w:ascii="Arial" w:hAnsi="Arial" w:cs="Arial"/>
                  <w:sz w:val="20"/>
                  <w:szCs w:val="20"/>
                </w:rPr>
                <w:t>Previous instructions consolidated</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2" w:anchor="S4" w:history="1">
              <w:r w:rsidRPr="00470480">
                <w:rPr>
                  <w:rStyle w:val="Hyperlink"/>
                  <w:rFonts w:ascii="Arial" w:hAnsi="Arial" w:cs="Arial"/>
                  <w:sz w:val="20"/>
                  <w:szCs w:val="20"/>
                </w:rPr>
                <w:t>Scope of Application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3" w:anchor="S5" w:history="1">
              <w:r w:rsidRPr="00470480">
                <w:rPr>
                  <w:rStyle w:val="Hyperlink"/>
                  <w:rFonts w:ascii="Arial" w:hAnsi="Arial" w:cs="Arial"/>
                  <w:sz w:val="20"/>
                  <w:szCs w:val="20"/>
                </w:rPr>
                <w:t>Introduction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4" w:anchor="S6" w:history="1">
              <w:r w:rsidRPr="00470480">
                <w:rPr>
                  <w:rStyle w:val="Hyperlink"/>
                  <w:rFonts w:ascii="Arial" w:hAnsi="Arial" w:cs="Arial"/>
                  <w:sz w:val="20"/>
                  <w:szCs w:val="20"/>
                </w:rPr>
                <w:t>Various Regulations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5" w:anchor="S7" w:history="1">
              <w:r w:rsidRPr="00470480">
                <w:rPr>
                  <w:rStyle w:val="Hyperlink"/>
                  <w:rFonts w:ascii="Arial" w:hAnsi="Arial" w:cs="Arial"/>
                  <w:sz w:val="20"/>
                  <w:szCs w:val="20"/>
                </w:rPr>
                <w:t>Quantum of Loan</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6" w:anchor="S8" w:history="1">
              <w:r w:rsidRPr="00470480">
                <w:rPr>
                  <w:rStyle w:val="Hyperlink"/>
                  <w:rFonts w:ascii="Arial" w:hAnsi="Arial" w:cs="Arial"/>
                  <w:sz w:val="20"/>
                  <w:szCs w:val="20"/>
                </w:rPr>
                <w:t>Innovative Housing Loan Products – Upfront Disbursal of Housing Loans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7" w:anchor="S9" w:history="1">
              <w:r w:rsidRPr="00470480">
                <w:rPr>
                  <w:rStyle w:val="Hyperlink"/>
                  <w:rFonts w:ascii="Arial" w:hAnsi="Arial" w:cs="Arial"/>
                  <w:sz w:val="20"/>
                  <w:szCs w:val="20"/>
                </w:rPr>
                <w:t>Rate of Interest</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8" w:anchor="S10" w:history="1">
              <w:r w:rsidRPr="00470480">
                <w:rPr>
                  <w:rStyle w:val="Hyperlink"/>
                  <w:rFonts w:ascii="Arial" w:hAnsi="Arial" w:cs="Arial"/>
                  <w:sz w:val="20"/>
                  <w:szCs w:val="20"/>
                </w:rPr>
                <w:t>Approval from Statutory/Regulatory Authorities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99" w:anchor="S11" w:history="1">
              <w:r w:rsidRPr="00470480">
                <w:rPr>
                  <w:rStyle w:val="Hyperlink"/>
                  <w:rFonts w:ascii="Arial" w:hAnsi="Arial" w:cs="Arial"/>
                  <w:sz w:val="20"/>
                  <w:szCs w:val="20"/>
                </w:rPr>
                <w:t>Disclosure Requirements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100" w:anchor="S12" w:history="1">
              <w:r w:rsidRPr="00470480">
                <w:rPr>
                  <w:rStyle w:val="Hyperlink"/>
                  <w:rFonts w:ascii="Arial" w:hAnsi="Arial" w:cs="Arial"/>
                  <w:sz w:val="20"/>
                  <w:szCs w:val="20"/>
                </w:rPr>
                <w:t>Exposure to Real Estate</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101" w:anchor="S13" w:history="1">
              <w:r w:rsidRPr="00470480">
                <w:rPr>
                  <w:rStyle w:val="Hyperlink"/>
                  <w:rFonts w:ascii="Arial" w:hAnsi="Arial" w:cs="Arial"/>
                  <w:sz w:val="20"/>
                  <w:szCs w:val="20"/>
                </w:rPr>
                <w:t>Housing Loans under Priority Sector</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102" w:anchor="S14" w:history="1">
              <w:r w:rsidRPr="00470480">
                <w:rPr>
                  <w:rStyle w:val="Hyperlink"/>
                  <w:rFonts w:ascii="Arial" w:hAnsi="Arial" w:cs="Arial"/>
                  <w:sz w:val="20"/>
                  <w:szCs w:val="20"/>
                </w:rPr>
                <w:t>Financing of Affordable Housing- Issue of long-term bonds by banks.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103" w:anchor="S15" w:history="1">
              <w:r w:rsidRPr="00470480">
                <w:rPr>
                  <w:rStyle w:val="Hyperlink"/>
                  <w:rFonts w:ascii="Arial" w:hAnsi="Arial" w:cs="Arial"/>
                  <w:sz w:val="20"/>
                  <w:szCs w:val="20"/>
                </w:rPr>
                <w:t>Additional Guidelines</w:t>
              </w:r>
            </w:hyperlink>
          </w:p>
        </w:tc>
      </w:tr>
      <w:tr w:rsidR="008F15A6" w:rsidRPr="00470480" w:rsidTr="008F15A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center"/>
              <w:rPr>
                <w:rFonts w:ascii="Arial" w:hAnsi="Arial" w:cs="Arial"/>
                <w:color w:val="000000"/>
                <w:sz w:val="20"/>
                <w:szCs w:val="20"/>
              </w:rPr>
            </w:pPr>
            <w:r w:rsidRPr="00470480">
              <w:rPr>
                <w:rFonts w:ascii="Arial" w:hAnsi="Arial" w:cs="Arial"/>
                <w:color w:val="000000"/>
                <w:sz w:val="20"/>
                <w:szCs w:val="20"/>
              </w:rPr>
              <w:lastRenderedPageBreak/>
              <w:t>12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5A6" w:rsidRPr="00470480" w:rsidRDefault="008F15A6" w:rsidP="008F15A6">
            <w:pPr>
              <w:jc w:val="both"/>
              <w:rPr>
                <w:rFonts w:ascii="Arial" w:hAnsi="Arial" w:cs="Arial"/>
                <w:color w:val="000000"/>
                <w:sz w:val="20"/>
                <w:szCs w:val="20"/>
              </w:rPr>
            </w:pPr>
            <w:hyperlink r:id="rId104" w:anchor="S16" w:history="1">
              <w:r w:rsidRPr="00470480">
                <w:rPr>
                  <w:rStyle w:val="Hyperlink"/>
                  <w:rFonts w:ascii="Arial" w:hAnsi="Arial" w:cs="Arial"/>
                  <w:sz w:val="20"/>
                  <w:szCs w:val="20"/>
                </w:rPr>
                <w:t>Appendix: Housing Finance circulars</w:t>
              </w:r>
            </w:hyperlink>
          </w:p>
        </w:tc>
      </w:tr>
    </w:tbl>
    <w:p w:rsidR="008F15A6" w:rsidRDefault="008F15A6" w:rsidP="008F15A6">
      <w:pPr>
        <w:pStyle w:val="NormalWeb"/>
        <w:rPr>
          <w:rFonts w:ascii="Arial" w:hAnsi="Arial" w:cs="Arial"/>
          <w:color w:val="000000"/>
          <w:sz w:val="20"/>
          <w:szCs w:val="20"/>
        </w:rPr>
      </w:pPr>
      <w:r>
        <w:rPr>
          <w:rFonts w:ascii="Arial" w:hAnsi="Arial" w:cs="Arial"/>
          <w:color w:val="000000"/>
          <w:sz w:val="20"/>
          <w:szCs w:val="20"/>
        </w:rPr>
        <w:t>For more details on the headings mentioned above, refer to the link below.</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05" w:history="1">
        <w:r w:rsidRPr="00470480">
          <w:rPr>
            <w:rStyle w:val="Hyperlink"/>
            <w:rFonts w:ascii="Arial" w:hAnsi="Arial" w:cs="Arial"/>
            <w:sz w:val="20"/>
            <w:szCs w:val="20"/>
          </w:rPr>
          <w:t>https://www.rbi.org.in/Scripts/NotificationUser.aspx?Id=12282&amp;Mode=0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06"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107"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108"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8F15A6" w:rsidRPr="001942B3" w:rsidRDefault="008F15A6" w:rsidP="008F15A6">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9" w:history="1">
        <w:r w:rsidRPr="00470480">
          <w:rPr>
            <w:rStyle w:val="Hyperlink"/>
            <w:rFonts w:ascii="Arial" w:hAnsi="Arial" w:cs="Arial"/>
            <w:sz w:val="20"/>
            <w:szCs w:val="20"/>
          </w:rPr>
          <w:t>https://www.rbi.org.in/Scripts/NotificationUser.aspx?Id=12281&amp;Mode=0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 Basel III Capital Regulations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RBI/2022-23/12</w:t>
      </w:r>
      <w:r w:rsidRPr="00470480">
        <w:rPr>
          <w:rFonts w:ascii="Arial" w:hAnsi="Arial" w:cs="Arial"/>
          <w:color w:val="000000"/>
          <w:sz w:val="20"/>
          <w:szCs w:val="20"/>
        </w:rPr>
        <w:br/>
        <w:t>DOR.CAP.REC.3/21.06.201/2022-23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Small Finance Banks, Payments Banks</w:t>
      </w:r>
      <w:r w:rsidRPr="00470480">
        <w:rPr>
          <w:rFonts w:ascii="Arial" w:hAnsi="Arial" w:cs="Arial"/>
          <w:color w:val="000000"/>
          <w:sz w:val="20"/>
          <w:szCs w:val="20"/>
        </w:rPr>
        <w:br/>
        <w:t>and Regional Rural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NormalWeb"/>
        <w:jc w:val="center"/>
        <w:rPr>
          <w:rFonts w:ascii="Arial" w:hAnsi="Arial" w:cs="Arial"/>
          <w:color w:val="000000"/>
          <w:sz w:val="20"/>
          <w:szCs w:val="20"/>
        </w:rPr>
      </w:pPr>
      <w:r w:rsidRPr="00470480">
        <w:rPr>
          <w:rStyle w:val="Strong"/>
          <w:rFonts w:ascii="Arial" w:hAnsi="Arial" w:cs="Arial"/>
          <w:color w:val="000000"/>
          <w:sz w:val="20"/>
          <w:szCs w:val="20"/>
        </w:rPr>
        <w:t>Master Circular – Basel III Capital Regulations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0" w:tgtFrame="_blank" w:history="1">
        <w:r w:rsidRPr="00470480">
          <w:rPr>
            <w:rStyle w:val="Hyperlink"/>
            <w:rFonts w:ascii="Arial" w:hAnsi="Arial" w:cs="Arial"/>
            <w:sz w:val="20"/>
            <w:szCs w:val="20"/>
          </w:rPr>
          <w:t>Master Circular No. DBR.No.BP.BC.1/21.06.201/2015-16 dated July 1, 2015</w:t>
        </w:r>
      </w:hyperlink>
      <w:r w:rsidRPr="00470480">
        <w:rPr>
          <w:rFonts w:ascii="Arial" w:hAnsi="Arial" w:cs="Arial"/>
          <w:color w:val="000000"/>
          <w:sz w:val="20"/>
          <w:szCs w:val="20"/>
        </w:rPr>
        <w:t>, consolidating therein the prudential guidelines on Basel III capital adequacy issued to banks till June 30, 2015.</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111" w:tgtFrame="_blank"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as on date. A list of circulars consolidated in this Master Circular is contained in Annex 27.</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 </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12" w:history="1">
        <w:r w:rsidRPr="00470480">
          <w:rPr>
            <w:rStyle w:val="Hyperlink"/>
            <w:rFonts w:ascii="Arial" w:hAnsi="Arial" w:cs="Arial"/>
            <w:sz w:val="20"/>
            <w:szCs w:val="20"/>
          </w:rPr>
          <w:t>https://www.rbi.org.in/Scripts/NotificationUser.aspx?Id=12278&amp;Mode=0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Pr="00470480" w:rsidRDefault="006A07B4" w:rsidP="006A07B4">
      <w:pPr>
        <w:spacing w:after="0"/>
        <w:jc w:val="both"/>
        <w:rPr>
          <w:rFonts w:ascii="Arial" w:hAnsi="Arial" w:cs="Arial"/>
          <w:sz w:val="20"/>
          <w:szCs w:val="20"/>
        </w:rPr>
      </w:pPr>
    </w:p>
    <w:p w:rsidR="006A07B4" w:rsidRDefault="006A07B4" w:rsidP="006A07B4">
      <w:pPr>
        <w:spacing w:after="0"/>
        <w:jc w:val="both"/>
        <w:rPr>
          <w:rFonts w:ascii="Arial" w:hAnsi="Arial" w:cs="Arial"/>
          <w:sz w:val="20"/>
          <w:szCs w:val="20"/>
        </w:rPr>
      </w:pPr>
    </w:p>
    <w:p w:rsidR="008F15A6" w:rsidRDefault="008F15A6">
      <w:r>
        <w:br w:type="page"/>
      </w: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Detection and Impounding of Counterfeit Notes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RBI/2022-23/07</w:t>
      </w:r>
      <w:r w:rsidRPr="00470480">
        <w:rPr>
          <w:rFonts w:ascii="Arial" w:hAnsi="Arial" w:cs="Arial"/>
          <w:color w:val="000000"/>
          <w:sz w:val="20"/>
          <w:szCs w:val="20"/>
        </w:rPr>
        <w:br/>
        <w:t>DCM (FNVD) G –1/16.01.05/2022-23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All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3" w:tgtFrame="_blank" w:history="1">
        <w:r w:rsidRPr="00470480">
          <w:rPr>
            <w:rStyle w:val="Hyperlink"/>
            <w:rFonts w:ascii="Arial" w:hAnsi="Arial" w:cs="Arial"/>
            <w:sz w:val="20"/>
            <w:szCs w:val="20"/>
          </w:rPr>
          <w:t>Master Circular DCM (FNVD) G - 1/16.01.05/2021-22 dated April 1, 2021</w:t>
        </w:r>
      </w:hyperlink>
      <w:r w:rsidRPr="00470480">
        <w:rPr>
          <w:rFonts w:ascii="Arial" w:hAnsi="Arial" w:cs="Arial"/>
          <w:color w:val="000000"/>
          <w:sz w:val="20"/>
          <w:szCs w:val="20"/>
        </w:rPr>
        <w:t> consolidating the instructions issued till April 1, 2021, relating to Detection and Impounding of Counterfeit Notes. The </w:t>
      </w:r>
      <w:hyperlink r:id="rId11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has since been updated by incorporating the instructions issued till date and has been placed on the RBI website </w:t>
      </w:r>
      <w:hyperlink r:id="rId115" w:tgtFrame="_blank" w:history="1">
        <w:r w:rsidRPr="00470480">
          <w:rPr>
            <w:rStyle w:val="Hyperlink"/>
            <w:rFonts w:ascii="Arial" w:hAnsi="Arial" w:cs="Arial"/>
            <w:sz w:val="20"/>
            <w:szCs w:val="20"/>
          </w:rPr>
          <w:t>www.rbi.org.in</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The Master Circular is a compilation of the instructions issued by RBI on the above subject which are operational as on the date of this Circular.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F15A6" w:rsidRDefault="008F15A6" w:rsidP="008F15A6">
      <w:pPr>
        <w:pStyle w:val="head"/>
        <w:rPr>
          <w:rFonts w:ascii="Arial" w:hAnsi="Arial" w:cs="Arial"/>
          <w:bCs/>
          <w:color w:val="000000"/>
          <w:sz w:val="20"/>
          <w:szCs w:val="20"/>
        </w:rPr>
      </w:pPr>
    </w:p>
    <w:p w:rsidR="008F15A6" w:rsidRPr="00091F3D" w:rsidRDefault="008F15A6" w:rsidP="008F15A6">
      <w:pPr>
        <w:pStyle w:val="head"/>
        <w:rPr>
          <w:rFonts w:ascii="Arial" w:hAnsi="Arial" w:cs="Arial"/>
          <w:bCs/>
          <w:color w:val="000000"/>
          <w:sz w:val="20"/>
          <w:szCs w:val="20"/>
        </w:rPr>
      </w:pPr>
      <w:r w:rsidRPr="00091F3D">
        <w:rPr>
          <w:rFonts w:ascii="Arial" w:hAnsi="Arial" w:cs="Arial"/>
          <w:bCs/>
          <w:color w:val="000000"/>
          <w:sz w:val="20"/>
          <w:szCs w:val="20"/>
        </w:rPr>
        <w:t>For the detailed circular, refer to the link below.</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16" w:history="1">
        <w:r w:rsidRPr="00470480">
          <w:rPr>
            <w:rStyle w:val="Hyperlink"/>
            <w:rFonts w:ascii="Arial" w:hAnsi="Arial" w:cs="Arial"/>
            <w:sz w:val="20"/>
            <w:szCs w:val="20"/>
          </w:rPr>
          <w:t>https://www.rbi.org.in/Scripts/NotificationUser.aspx?Id=12273&amp;Mode=0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Default="008F15A6">
      <w:r>
        <w:br w:type="page"/>
      </w: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on Penal Provisions in deficiencies in reporting of transactions/ balances at Currency Chests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RBI/2022-23/91</w:t>
      </w:r>
      <w:r w:rsidRPr="00470480">
        <w:rPr>
          <w:rFonts w:ascii="Arial" w:hAnsi="Arial" w:cs="Arial"/>
          <w:color w:val="000000"/>
          <w:sz w:val="20"/>
          <w:szCs w:val="20"/>
        </w:rPr>
        <w:br/>
        <w:t>DCM (CC) No.G-4/03.35.01/2022-23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banks having Currency Chests)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Section 45 of the RBI Act, 1934 and 35 A of the Banking Regulation Act, 1949, the Bank issues guidelines / instructions for realising the objectives of Clean Note Policy as part of currency management. With a view to sustain these efforts and to ensure discipline among the banks for timely and accurate reporting of currency chest transactions, instructions on the subject have been issued from time to time.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117"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will be updated as and when fresh instructions are issued.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proofErr w:type="gramStart"/>
      <w:r w:rsidRPr="00470480">
        <w:rPr>
          <w:rFonts w:ascii="Arial" w:hAnsi="Arial" w:cs="Arial"/>
          <w:color w:val="000000"/>
          <w:sz w:val="20"/>
          <w:szCs w:val="20"/>
        </w:rPr>
        <w:t>Encl</w:t>
      </w:r>
      <w:proofErr w:type="spellEnd"/>
      <w:r w:rsidRPr="00470480">
        <w:rPr>
          <w:rFonts w:ascii="Arial" w:hAnsi="Arial" w:cs="Arial"/>
          <w:color w:val="000000"/>
          <w:sz w:val="20"/>
          <w:szCs w:val="20"/>
        </w:rPr>
        <w:t xml:space="preserve"> :</w:t>
      </w:r>
      <w:proofErr w:type="gramEnd"/>
      <w:r w:rsidRPr="00470480">
        <w:rPr>
          <w:rFonts w:ascii="Arial" w:hAnsi="Arial" w:cs="Arial"/>
          <w:color w:val="000000"/>
          <w:sz w:val="20"/>
          <w:szCs w:val="20"/>
        </w:rPr>
        <w:t xml:space="preserve"> As above</w:t>
      </w:r>
    </w:p>
    <w:p w:rsidR="008F15A6" w:rsidRDefault="008F15A6" w:rsidP="008F15A6">
      <w:pPr>
        <w:pStyle w:val="NormalWeb"/>
        <w:jc w:val="both"/>
        <w:rPr>
          <w:rFonts w:ascii="Arial" w:hAnsi="Arial" w:cs="Arial"/>
          <w:color w:val="000000"/>
          <w:sz w:val="20"/>
          <w:szCs w:val="20"/>
        </w:rPr>
      </w:pPr>
    </w:p>
    <w:p w:rsidR="008F15A6"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18" w:history="1">
        <w:r w:rsidRPr="00470480">
          <w:rPr>
            <w:rStyle w:val="Hyperlink"/>
            <w:rFonts w:ascii="Arial" w:hAnsi="Arial" w:cs="Arial"/>
            <w:sz w:val="20"/>
            <w:szCs w:val="20"/>
          </w:rPr>
          <w:t>https://www.rbi.org.in/Scripts/NotificationUser.aspx?Id=12270&amp;Mode=0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on Framework of Incentives for Currency Distribution &amp; Exchange Scheme for bank branches including currency chests based on performance in rendering customer service to the members of public</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RBI/2022-23/90</w:t>
      </w:r>
      <w:r w:rsidRPr="00470480">
        <w:rPr>
          <w:rFonts w:ascii="Arial" w:hAnsi="Arial" w:cs="Arial"/>
          <w:color w:val="000000"/>
          <w:sz w:val="20"/>
          <w:szCs w:val="20"/>
        </w:rPr>
        <w:br/>
        <w:t>DCM (CC) No.G-3/03.41.01/2022-23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Framework of Incentives for Currency Distribution &amp; Exchange Scheme for bank branches including currency chests based on performance in rendering customer service to the members of public</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under Section 45 of the RBI Act, 1934 and 35 A of the Banking Regulation Act, 1949; the Bank issues guidelines / instructions for realising the objectives of Clean Note Policy as part of currency management. With a view to furthering these objectives, the Bank has formulated a framework of incentives titled Currency Distribution and Exchange Scheme (CDES) to encourage all bank branches to provide better customer services to the members of public.</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119"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shall be updated from time to time as and when fresh instructions are issued.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20" w:history="1">
        <w:r w:rsidRPr="00470480">
          <w:rPr>
            <w:rStyle w:val="Hyperlink"/>
            <w:rFonts w:ascii="Arial" w:hAnsi="Arial" w:cs="Arial"/>
            <w:sz w:val="20"/>
            <w:szCs w:val="20"/>
          </w:rPr>
          <w:t>https://www.rbi.org.in/Scripts/NotificationUser.aspx?Id=12269&amp;Mode=0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Scheme of Penalties for bank branches including Currency Chests for deficiency in rendering customer service to the members of public</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RBI/2022-23/04</w:t>
      </w:r>
      <w:r w:rsidRPr="00470480">
        <w:rPr>
          <w:rFonts w:ascii="Arial" w:hAnsi="Arial" w:cs="Arial"/>
          <w:color w:val="000000"/>
          <w:sz w:val="20"/>
          <w:szCs w:val="20"/>
        </w:rPr>
        <w:br/>
        <w:t>DCM (CC) No.G-5/03.44.01/2022-23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Scheme of Penalties for bank branches including Currency Chests for deficiency in rendering customer service to the members of public</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21" w:tgtFrame="_blank" w:history="1">
        <w:r w:rsidRPr="00470480">
          <w:rPr>
            <w:rStyle w:val="Hyperlink"/>
            <w:rFonts w:ascii="Arial" w:hAnsi="Arial" w:cs="Arial"/>
            <w:sz w:val="20"/>
            <w:szCs w:val="20"/>
          </w:rPr>
          <w:t>Master Circular DCM (CC) No.G-3/03.44.01/2021-22 dated April 01, 2021</w:t>
        </w:r>
      </w:hyperlink>
      <w:r w:rsidRPr="00470480">
        <w:rPr>
          <w:rFonts w:ascii="Arial" w:hAnsi="Arial" w:cs="Arial"/>
          <w:color w:val="000000"/>
          <w:sz w:val="20"/>
          <w:szCs w:val="20"/>
        </w:rPr>
        <w:t> on the scheme of penalties.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An updated version on the subject is </w:t>
      </w:r>
      <w:hyperlink r:id="rId122" w:anchor="A_1" w:history="1">
        <w:r w:rsidRPr="00470480">
          <w:rPr>
            <w:rStyle w:val="Hyperlink"/>
            <w:rFonts w:ascii="Arial" w:hAnsi="Arial" w:cs="Arial"/>
            <w:sz w:val="20"/>
            <w:szCs w:val="20"/>
          </w:rPr>
          <w:t>annexed</w:t>
        </w:r>
      </w:hyperlink>
      <w:r w:rsidRPr="00470480">
        <w:rPr>
          <w:rFonts w:ascii="Arial" w:hAnsi="Arial" w:cs="Arial"/>
          <w:color w:val="000000"/>
          <w:sz w:val="20"/>
          <w:szCs w:val="20"/>
        </w:rPr>
        <w:t> for information and necessary action.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8F15A6" w:rsidRPr="00470480" w:rsidRDefault="008F15A6" w:rsidP="008F15A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23" w:history="1">
        <w:r w:rsidRPr="00470480">
          <w:rPr>
            <w:rStyle w:val="Hyperlink"/>
            <w:rFonts w:ascii="Arial" w:hAnsi="Arial" w:cs="Arial"/>
            <w:sz w:val="20"/>
            <w:szCs w:val="20"/>
          </w:rPr>
          <w:t>https://www.rbi.org.in/Scripts/NotificationUser.aspx?Id=12268&amp;Mode=0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Asset Reconstruction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RBI/2022-23/03</w:t>
      </w:r>
      <w:r w:rsidRPr="00470480">
        <w:rPr>
          <w:rFonts w:ascii="Arial" w:hAnsi="Arial" w:cs="Arial"/>
          <w:color w:val="000000"/>
          <w:sz w:val="20"/>
          <w:szCs w:val="20"/>
        </w:rPr>
        <w:br/>
        <w:t>DOR.SIG.FIN.REC 1/26.03.001/2022-23</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124"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125"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126"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March 31, 2022 are reproduced below.</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8F15A6"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8F15A6" w:rsidRDefault="008F15A6" w:rsidP="008F15A6">
      <w:pPr>
        <w:pStyle w:val="NormalWeb"/>
        <w:jc w:val="both"/>
        <w:rPr>
          <w:rFonts w:ascii="Arial" w:hAnsi="Arial" w:cs="Arial"/>
          <w:color w:val="000000"/>
          <w:sz w:val="20"/>
          <w:szCs w:val="20"/>
        </w:rPr>
      </w:pPr>
    </w:p>
    <w:p w:rsidR="008F15A6" w:rsidRDefault="008F15A6" w:rsidP="008F15A6">
      <w:pPr>
        <w:pStyle w:val="NormalWeb"/>
        <w:spacing w:before="0" w:beforeAutospacing="0" w:after="0" w:afterAutospacing="0"/>
        <w:jc w:val="both"/>
        <w:rPr>
          <w:rFonts w:ascii="Arial" w:hAnsi="Arial" w:cs="Arial"/>
          <w:color w:val="000000"/>
          <w:sz w:val="20"/>
          <w:szCs w:val="20"/>
        </w:rPr>
      </w:pPr>
    </w:p>
    <w:p w:rsidR="008F15A6" w:rsidRPr="00470480" w:rsidRDefault="008F15A6" w:rsidP="008F15A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8F15A6" w:rsidRPr="00470480" w:rsidRDefault="008F15A6" w:rsidP="008F15A6">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27" w:history="1">
        <w:r w:rsidRPr="00470480">
          <w:rPr>
            <w:rStyle w:val="Hyperlink"/>
            <w:rFonts w:ascii="Arial" w:hAnsi="Arial" w:cs="Arial"/>
            <w:sz w:val="20"/>
            <w:szCs w:val="20"/>
          </w:rPr>
          <w:t>https://www.rbi.org.in/Scripts/NotificationUser.aspx?Id=12267&amp;Mode=0</w:t>
        </w:r>
      </w:hyperlink>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p>
    <w:p w:rsidR="008F15A6" w:rsidRDefault="008F15A6">
      <w: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28"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29" w:history="1">
        <w:r w:rsidRPr="00470480">
          <w:rPr>
            <w:rStyle w:val="Hyperlink"/>
            <w:rFonts w:ascii="Arial" w:hAnsi="Arial" w:cs="Arial"/>
            <w:sz w:val="20"/>
            <w:szCs w:val="20"/>
          </w:rPr>
          <w:t>https://www.rbi.org.in/Scripts/NotificationUser.aspx?Id=12264&amp;Mode=0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Cassette - Swaps in ATMs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30"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131"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8F15A6"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32" w:history="1">
        <w:r w:rsidRPr="00470480">
          <w:rPr>
            <w:rStyle w:val="Hyperlink"/>
            <w:rFonts w:ascii="Arial" w:hAnsi="Arial" w:cs="Arial"/>
            <w:sz w:val="20"/>
            <w:szCs w:val="20"/>
          </w:rPr>
          <w:t>https://www.rbi.org.in/Scripts/NotificationUser.aspx?Id=12263&amp;Mode=0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33"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34" w:history="1">
        <w:r w:rsidRPr="00470480">
          <w:rPr>
            <w:rStyle w:val="Hyperlink"/>
            <w:rFonts w:ascii="Arial" w:hAnsi="Arial" w:cs="Arial"/>
            <w:sz w:val="20"/>
            <w:szCs w:val="20"/>
          </w:rPr>
          <w:t>https://www.rbi.org.in/Scripts/NotificationUser.aspx?Id=12258&amp;Mode=0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135"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36"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137"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138"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8F15A6" w:rsidRDefault="008F15A6" w:rsidP="008F15A6">
      <w:pPr>
        <w:pStyle w:val="NormalWeb"/>
        <w:jc w:val="both"/>
        <w:rPr>
          <w:rFonts w:ascii="Arial" w:hAnsi="Arial" w:cs="Arial"/>
          <w:color w:val="000000"/>
          <w:sz w:val="20"/>
          <w:szCs w:val="20"/>
        </w:rPr>
      </w:pPr>
    </w:p>
    <w:p w:rsidR="008F15A6" w:rsidRDefault="008F15A6" w:rsidP="008F15A6">
      <w:pPr>
        <w:pStyle w:val="NormalWeb"/>
        <w:spacing w:before="0" w:beforeAutospacing="0" w:after="0" w:afterAutospacing="0"/>
        <w:jc w:val="both"/>
        <w:rPr>
          <w:rFonts w:ascii="Arial" w:hAnsi="Arial" w:cs="Arial"/>
          <w:color w:val="000000"/>
          <w:sz w:val="20"/>
          <w:szCs w:val="20"/>
        </w:rPr>
      </w:pPr>
    </w:p>
    <w:p w:rsidR="008F15A6" w:rsidRPr="00470480" w:rsidRDefault="008F15A6" w:rsidP="008F15A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8F15A6" w:rsidRPr="00470480" w:rsidRDefault="008F15A6" w:rsidP="008F15A6">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39" w:history="1">
        <w:r w:rsidRPr="00470480">
          <w:rPr>
            <w:rStyle w:val="Hyperlink"/>
            <w:rFonts w:ascii="Arial" w:hAnsi="Arial" w:cs="Arial"/>
            <w:sz w:val="20"/>
            <w:szCs w:val="20"/>
          </w:rPr>
          <w:t>https://www.rbi.org.in/Scripts/NotificationUser.aspx?Id=12256&amp;Mode=0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8F15A6" w:rsidRPr="00470480" w:rsidRDefault="008F15A6" w:rsidP="008F15A6">
      <w:pPr>
        <w:spacing w:after="0"/>
        <w:jc w:val="both"/>
        <w:rPr>
          <w:rFonts w:ascii="Arial" w:hAnsi="Arial" w:cs="Arial"/>
          <w:sz w:val="20"/>
          <w:szCs w:val="20"/>
        </w:rPr>
      </w:pPr>
    </w:p>
    <w:p w:rsidR="008F15A6" w:rsidRDefault="008F15A6" w:rsidP="008F15A6">
      <w:pPr>
        <w:pStyle w:val="NormalWeb"/>
        <w:jc w:val="both"/>
        <w:rPr>
          <w:rFonts w:ascii="Arial" w:hAnsi="Arial" w:cs="Arial"/>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140"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141"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8F15A6" w:rsidRPr="00470480" w:rsidRDefault="008F15A6" w:rsidP="008F15A6">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8F15A6"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42" w:history="1">
        <w:r w:rsidRPr="00470480">
          <w:rPr>
            <w:rStyle w:val="Hyperlink"/>
            <w:rFonts w:ascii="Arial" w:hAnsi="Arial" w:cs="Arial"/>
            <w:sz w:val="20"/>
            <w:szCs w:val="20"/>
          </w:rPr>
          <w:t>https://www.rbi.org.in/Scripts/NotificationUser.aspx?Id=12252&amp;Mode=0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RBI/2021-22/179</w:t>
      </w:r>
      <w:r w:rsidRPr="00470480">
        <w:rPr>
          <w:rFonts w:ascii="Arial" w:hAnsi="Arial" w:cs="Arial"/>
          <w:color w:val="000000"/>
          <w:sz w:val="20"/>
          <w:szCs w:val="20"/>
        </w:rPr>
        <w:br/>
        <w:t>DOR.CAP.REC.92/09.18.201/2021-22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08,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is deemed to have come into force with effect from June 29, 2020 for Primary (Urban) Co-operative Banks (UCBs).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UCBs on issue and regulation of capital funds have been reviewed keeping in view, inter alia, the provisions of Section 12 read with Section 56 of the amended Banking Regulation Act, 1949 (BR Act).</w:t>
      </w:r>
    </w:p>
    <w:p w:rsidR="008F15A6" w:rsidRDefault="008F15A6" w:rsidP="008F15A6">
      <w:pPr>
        <w:pStyle w:val="head"/>
        <w:jc w:val="both"/>
        <w:rPr>
          <w:rFonts w:ascii="Arial" w:hAnsi="Arial" w:cs="Arial"/>
          <w:bCs/>
          <w:color w:val="000000"/>
          <w:sz w:val="20"/>
          <w:szCs w:val="20"/>
        </w:rPr>
      </w:pPr>
    </w:p>
    <w:p w:rsidR="008F15A6" w:rsidRDefault="008F15A6" w:rsidP="008F15A6">
      <w:pPr>
        <w:pStyle w:val="head"/>
        <w:jc w:val="both"/>
        <w:rPr>
          <w:rFonts w:ascii="Arial" w:hAnsi="Arial" w:cs="Arial"/>
          <w:bCs/>
          <w:color w:val="000000"/>
          <w:sz w:val="20"/>
          <w:szCs w:val="20"/>
        </w:rPr>
      </w:pPr>
      <w:r w:rsidRPr="00443878">
        <w:rPr>
          <w:rFonts w:ascii="Arial" w:hAnsi="Arial" w:cs="Arial"/>
          <w:bCs/>
          <w:color w:val="000000"/>
          <w:sz w:val="20"/>
          <w:szCs w:val="20"/>
        </w:rPr>
        <w:t>For information on augmentation of capital funds, refund of share capital, repeal and effective date, refer to the link below.</w:t>
      </w:r>
    </w:p>
    <w:p w:rsidR="008F15A6" w:rsidRDefault="008F15A6" w:rsidP="008F15A6">
      <w:pPr>
        <w:pStyle w:val="head"/>
        <w:jc w:val="both"/>
        <w:rPr>
          <w:rFonts w:ascii="Arial" w:hAnsi="Arial" w:cs="Arial"/>
          <w:sz w:val="20"/>
          <w:szCs w:val="20"/>
        </w:rPr>
      </w:pPr>
    </w:p>
    <w:p w:rsidR="008F15A6" w:rsidRPr="00443878" w:rsidRDefault="008F15A6" w:rsidP="008F15A6">
      <w:pPr>
        <w:pStyle w:val="head"/>
        <w:jc w:val="both"/>
        <w:rPr>
          <w:rFonts w:ascii="Arial" w:hAnsi="Arial" w:cs="Arial"/>
          <w:bCs/>
          <w:color w:val="000000"/>
          <w:sz w:val="20"/>
          <w:szCs w:val="20"/>
        </w:rPr>
      </w:pPr>
      <w:r w:rsidRPr="00470480">
        <w:rPr>
          <w:rFonts w:ascii="Arial" w:hAnsi="Arial" w:cs="Arial"/>
          <w:sz w:val="20"/>
          <w:szCs w:val="20"/>
        </w:rPr>
        <w:t xml:space="preserve">Reference Link: </w:t>
      </w:r>
      <w:hyperlink r:id="rId143" w:history="1">
        <w:r w:rsidRPr="00470480">
          <w:rPr>
            <w:rStyle w:val="Hyperlink"/>
            <w:rFonts w:ascii="Arial" w:hAnsi="Arial" w:cs="Arial"/>
            <w:sz w:val="20"/>
            <w:szCs w:val="20"/>
          </w:rPr>
          <w:t>https://www.rbi.org.in/Scripts/NotificationUser.aspx?Id=12251&amp;Mode=0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RBI/2021-22/177</w:t>
      </w:r>
      <w:r w:rsidRPr="00470480">
        <w:rPr>
          <w:rFonts w:ascii="Arial" w:hAnsi="Arial" w:cs="Arial"/>
          <w:color w:val="000000"/>
          <w:sz w:val="20"/>
          <w:szCs w:val="20"/>
        </w:rPr>
        <w:br/>
        <w:t>DOR.REC.MRG.90/16.20.000/2021-22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March 3,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44" w:tgtFrame="_blank" w:history="1">
        <w:r w:rsidRPr="00470480">
          <w:rPr>
            <w:rStyle w:val="Hyperlink"/>
            <w:rFonts w:ascii="Arial" w:hAnsi="Arial" w:cs="Arial"/>
            <w:sz w:val="20"/>
            <w:szCs w:val="20"/>
          </w:rPr>
          <w:t>circular UBD.(PCB).BPD.Cir.No.46/16.20.000/2008-09 dated January 30, 2009</w:t>
        </w:r>
      </w:hyperlink>
      <w:r w:rsidRPr="00470480">
        <w:rPr>
          <w:rFonts w:ascii="Arial" w:hAnsi="Arial" w:cs="Arial"/>
          <w:color w:val="000000"/>
          <w:sz w:val="20"/>
          <w:szCs w:val="20"/>
        </w:rPr>
        <w:t> on Investments in Non-SLR securities by Primary (Urban) Co-operative Banks. Paragraph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of the circular states that the non-SLR investments shall be limited to ten per cent of a bank’s total deposits as on March 31 of the previous year. Further, paragraph 2(iii)(b) states that investments in unlisted securities shall not exceed ten per cent of the total non-SLR investments at any time.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RBI has accorded regulatory approval to National Federation of Urban Co-operative Banks and Credit Societies Ltd. (NAFCUB) in June 2019 for formation of Umbrella Organization (UO) for the UCB Sector. The approval </w:t>
      </w:r>
      <w:r w:rsidRPr="00470480">
        <w:rPr>
          <w:rStyle w:val="Emphasis"/>
          <w:rFonts w:ascii="Arial" w:hAnsi="Arial" w:cs="Arial"/>
          <w:color w:val="000000"/>
          <w:sz w:val="20"/>
          <w:szCs w:val="20"/>
        </w:rPr>
        <w:t>inter-alia</w:t>
      </w:r>
      <w:r w:rsidRPr="00470480">
        <w:rPr>
          <w:rFonts w:ascii="Arial" w:hAnsi="Arial" w:cs="Arial"/>
          <w:color w:val="000000"/>
          <w:sz w:val="20"/>
          <w:szCs w:val="20"/>
        </w:rPr>
        <w:t> permits UCBs to subscribe to capital of the UO on voluntary basis.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It is advised that the investment made for subscribing to the capital of the UO, for acquiring its membership, shall be exempt from the limits prescribed in Paragraphs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and 2(iii)(b) of the circular ibid.</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Primary (Urban) Co-operative Banks.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5. These instructions come into effect from the date of the circular.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45" w:history="1">
        <w:r w:rsidRPr="00470480">
          <w:rPr>
            <w:rStyle w:val="Hyperlink"/>
            <w:rFonts w:ascii="Arial" w:hAnsi="Arial" w:cs="Arial"/>
            <w:sz w:val="20"/>
            <w:szCs w:val="20"/>
          </w:rPr>
          <w:t>https://www.rbi.org.in/Scripts/NotificationUser.aspx?Id=12249&amp;Mode=0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Default="008F15A6">
      <w: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RBI/2021-22/171</w:t>
      </w:r>
      <w:r w:rsidRPr="00470480">
        <w:rPr>
          <w:rFonts w:ascii="Arial" w:hAnsi="Arial" w:cs="Arial"/>
          <w:color w:val="000000"/>
          <w:sz w:val="20"/>
          <w:szCs w:val="20"/>
        </w:rPr>
        <w:br/>
        <w:t>DOR.CRE.REC.No.87/08.12.001/2021-22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46" w:tgtFrame="_blank" w:history="1">
        <w:r w:rsidRPr="00470480">
          <w:rPr>
            <w:rStyle w:val="Hyperlink"/>
            <w:rFonts w:ascii="Arial" w:hAnsi="Arial" w:cs="Arial"/>
            <w:sz w:val="20"/>
            <w:szCs w:val="20"/>
          </w:rPr>
          <w:t>Master Circular DBR.No.DIR.BC.13/08.12.001/2015-16 dated July 1, 2015</w:t>
        </w:r>
      </w:hyperlink>
      <w:r w:rsidRPr="00470480">
        <w:rPr>
          <w:rFonts w:ascii="Arial" w:hAnsi="Arial" w:cs="Arial"/>
          <w:color w:val="000000"/>
          <w:sz w:val="20"/>
          <w:szCs w:val="20"/>
        </w:rPr>
        <w:t> consolidating the instructions / guidelines issued to banks till June 30, 2015 relating to Housing Finance. This </w:t>
      </w:r>
      <w:hyperlink r:id="rId147"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February 17,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F15A6" w:rsidRDefault="008F15A6" w:rsidP="008F15A6">
      <w:pPr>
        <w:pStyle w:val="NormalWeb"/>
        <w:spacing w:before="0" w:beforeAutospacing="0"/>
        <w:rPr>
          <w:rFonts w:ascii="Arial" w:hAnsi="Arial" w:cs="Arial"/>
          <w:color w:val="000000"/>
          <w:sz w:val="20"/>
          <w:szCs w:val="20"/>
        </w:rPr>
      </w:pPr>
    </w:p>
    <w:p w:rsidR="008F15A6" w:rsidRPr="00470480" w:rsidRDefault="008F15A6" w:rsidP="008F15A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8F15A6" w:rsidRPr="00470480" w:rsidRDefault="008F15A6" w:rsidP="008F15A6">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48" w:history="1">
        <w:r w:rsidRPr="00470480">
          <w:rPr>
            <w:rStyle w:val="Hyperlink"/>
            <w:rFonts w:ascii="Arial" w:hAnsi="Arial" w:cs="Arial"/>
            <w:sz w:val="20"/>
            <w:szCs w:val="20"/>
          </w:rPr>
          <w:t>https://www.rbi.org.in/Scripts/NotificationUser.aspx?Id=12243&amp;Mode=0</w:t>
        </w:r>
      </w:hyperlink>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p>
    <w:p w:rsidR="008F15A6" w:rsidRDefault="008F15A6">
      <w:r>
        <w:br w:type="page"/>
      </w:r>
    </w:p>
    <w:p w:rsidR="008F15A6" w:rsidRPr="00470480" w:rsidRDefault="008F15A6" w:rsidP="008F15A6">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Prudential norms on Income Recognition, Asset Classification and Provisioning pertaining to Advances – Clarifications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149"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8F15A6" w:rsidRPr="00470480" w:rsidRDefault="008F15A6" w:rsidP="00CB6DAF">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8F15A6" w:rsidRPr="00470480" w:rsidRDefault="008F15A6" w:rsidP="00CB6DAF">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8F15A6" w:rsidRPr="00470480" w:rsidRDefault="008F15A6" w:rsidP="00CB6DAF">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8F15A6" w:rsidRPr="00470480" w:rsidRDefault="008F15A6" w:rsidP="00CB6DAF">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150"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8F15A6" w:rsidRPr="00470480" w:rsidRDefault="008F15A6" w:rsidP="00CB6DAF">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F15A6" w:rsidRDefault="008F15A6" w:rsidP="008F15A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F15A6" w:rsidRDefault="008F15A6" w:rsidP="008F15A6">
      <w:pPr>
        <w:pStyle w:val="NormalWeb"/>
        <w:rPr>
          <w:rFonts w:ascii="Arial" w:hAnsi="Arial" w:cs="Arial"/>
          <w:color w:val="000000"/>
          <w:sz w:val="20"/>
          <w:szCs w:val="20"/>
        </w:rPr>
      </w:pPr>
    </w:p>
    <w:p w:rsidR="008F15A6" w:rsidRPr="00470480" w:rsidRDefault="008F15A6" w:rsidP="008F15A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51" w:history="1">
        <w:r w:rsidRPr="00470480">
          <w:rPr>
            <w:rStyle w:val="Hyperlink"/>
            <w:rFonts w:ascii="Arial" w:hAnsi="Arial" w:cs="Arial"/>
            <w:sz w:val="20"/>
            <w:szCs w:val="20"/>
          </w:rPr>
          <w:t>https://www.rbi.org.in/Scripts/NotificationUser.aspx?Id=12230&amp;Mode=0</w:t>
        </w:r>
      </w:hyperlink>
    </w:p>
    <w:p w:rsidR="008F15A6" w:rsidRPr="00470480" w:rsidRDefault="008F15A6" w:rsidP="008F15A6">
      <w:pPr>
        <w:pStyle w:val="NormalWeb"/>
        <w:rPr>
          <w:rFonts w:ascii="Arial" w:hAnsi="Arial" w:cs="Arial"/>
          <w:color w:val="000000"/>
          <w:sz w:val="20"/>
          <w:szCs w:val="20"/>
        </w:rPr>
      </w:pPr>
    </w:p>
    <w:p w:rsidR="008F15A6" w:rsidRDefault="008F15A6">
      <w: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(Credit Derivatives) Directions, 2022</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152"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53"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154"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155"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r>
        <w:rPr>
          <w:rFonts w:ascii="Arial" w:hAnsi="Arial" w:cs="Arial"/>
          <w:sz w:val="20"/>
          <w:szCs w:val="20"/>
        </w:rPr>
        <w:t>For the detailed Master Direction, refer to the link below.</w:t>
      </w: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56" w:history="1">
        <w:r w:rsidRPr="00470480">
          <w:rPr>
            <w:rStyle w:val="Hyperlink"/>
            <w:rFonts w:ascii="Arial" w:hAnsi="Arial" w:cs="Arial"/>
            <w:sz w:val="20"/>
            <w:szCs w:val="20"/>
          </w:rPr>
          <w:t>https://www.rbi.org.in/Scripts/NotificationUser.aspx?Id=12226&amp;Mode=0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Asset Reconstruction Companies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RBI/2021-22/154</w:t>
      </w:r>
      <w:r w:rsidRPr="00470480">
        <w:rPr>
          <w:rFonts w:ascii="Arial" w:hAnsi="Arial" w:cs="Arial"/>
          <w:color w:val="000000"/>
          <w:sz w:val="20"/>
          <w:szCs w:val="20"/>
        </w:rPr>
        <w:br/>
        <w:t>DOR.SIG.FIN.REC 84/26.03.001/2021-22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F15A6" w:rsidRPr="00470480" w:rsidRDefault="008F15A6" w:rsidP="008F15A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157"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158"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159"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January 31, 2022 are reproduced below.</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sz w:val="20"/>
          <w:szCs w:val="20"/>
        </w:rPr>
      </w:pPr>
      <w:r>
        <w:rPr>
          <w:rFonts w:ascii="Arial" w:hAnsi="Arial" w:cs="Arial"/>
          <w:sz w:val="20"/>
          <w:szCs w:val="20"/>
        </w:rPr>
        <w:t>For the detailed Master Circular, refer to the link below.</w:t>
      </w:r>
    </w:p>
    <w:p w:rsidR="008F15A6" w:rsidRPr="00470480" w:rsidRDefault="008F15A6" w:rsidP="008F15A6">
      <w:pPr>
        <w:spacing w:after="0"/>
        <w:jc w:val="both"/>
        <w:rPr>
          <w:rFonts w:ascii="Arial" w:hAnsi="Arial" w:cs="Arial"/>
          <w:sz w:val="20"/>
          <w:szCs w:val="20"/>
        </w:rPr>
      </w:pPr>
      <w:r w:rsidRPr="00470480">
        <w:rPr>
          <w:rFonts w:ascii="Arial" w:hAnsi="Arial" w:cs="Arial"/>
          <w:sz w:val="20"/>
          <w:szCs w:val="20"/>
        </w:rPr>
        <w:t xml:space="preserve">Reference link: </w:t>
      </w:r>
      <w:hyperlink r:id="rId160" w:history="1">
        <w:r w:rsidRPr="00470480">
          <w:rPr>
            <w:rStyle w:val="Hyperlink"/>
            <w:rFonts w:ascii="Arial" w:hAnsi="Arial" w:cs="Arial"/>
            <w:sz w:val="20"/>
            <w:szCs w:val="20"/>
          </w:rPr>
          <w:t>https://www.rbi.org.in/Scripts/NotificationUser.aspx?Id=12225&amp;Mode=0</w:t>
        </w:r>
      </w:hyperlink>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Pr="00470480" w:rsidRDefault="008F15A6" w:rsidP="008F15A6">
      <w:pPr>
        <w:spacing w:after="0"/>
        <w:jc w:val="both"/>
        <w:rPr>
          <w:rFonts w:ascii="Arial" w:hAnsi="Arial" w:cs="Arial"/>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sidP="008F15A6">
      <w:pPr>
        <w:spacing w:after="0"/>
        <w:jc w:val="both"/>
        <w:rPr>
          <w:rFonts w:ascii="Arial" w:hAnsi="Arial" w:cs="Arial"/>
          <w:b/>
          <w:bCs/>
          <w:color w:val="000000"/>
          <w:sz w:val="20"/>
          <w:szCs w:val="20"/>
        </w:rPr>
      </w:pPr>
    </w:p>
    <w:p w:rsidR="008F15A6" w:rsidRDefault="008F15A6">
      <w:r>
        <w:br w:type="page"/>
      </w:r>
    </w:p>
    <w:p w:rsidR="008F15A6" w:rsidRPr="00470480" w:rsidRDefault="008F15A6" w:rsidP="008F15A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Basel III Framework on Liquidity Standards – Liquidity Coverage Ratio (LCR), Liquidity Risk Monitoring Tools and LCR Disclosure Standards and Net Stable Funding ratio – Small Business Customers</w:t>
      </w:r>
    </w:p>
    <w:p w:rsidR="008F15A6" w:rsidRPr="00470480" w:rsidRDefault="008F15A6" w:rsidP="008F15A6">
      <w:pPr>
        <w:spacing w:after="0"/>
        <w:jc w:val="both"/>
        <w:rPr>
          <w:rFonts w:ascii="Arial" w:hAnsi="Arial" w:cs="Arial"/>
          <w:b/>
          <w:bCs/>
          <w:color w:val="000000"/>
          <w:sz w:val="20"/>
          <w:szCs w:val="20"/>
        </w:rPr>
      </w:pP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RBI/2021-22/151</w:t>
      </w:r>
      <w:r w:rsidRPr="00470480">
        <w:rPr>
          <w:rFonts w:ascii="Arial" w:hAnsi="Arial" w:cs="Arial"/>
          <w:color w:val="000000"/>
          <w:sz w:val="20"/>
          <w:szCs w:val="20"/>
        </w:rPr>
        <w:br/>
        <w:t>DOR.No.PRD.LRG.79/21.04.098/2021-22</w:t>
      </w:r>
    </w:p>
    <w:p w:rsidR="008F15A6" w:rsidRPr="00470480" w:rsidRDefault="008F15A6" w:rsidP="008F15A6">
      <w:pPr>
        <w:pStyle w:val="NormalWeb"/>
        <w:jc w:val="right"/>
        <w:rPr>
          <w:rFonts w:ascii="Arial" w:hAnsi="Arial" w:cs="Arial"/>
          <w:color w:val="000000"/>
          <w:sz w:val="20"/>
          <w:szCs w:val="20"/>
        </w:rPr>
      </w:pPr>
      <w:r w:rsidRPr="00470480">
        <w:rPr>
          <w:rFonts w:ascii="Arial" w:hAnsi="Arial" w:cs="Arial"/>
          <w:color w:val="000000"/>
          <w:sz w:val="20"/>
          <w:szCs w:val="20"/>
        </w:rPr>
        <w:t>January 06, 2022</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F15A6" w:rsidRPr="00470480" w:rsidRDefault="008F15A6" w:rsidP="008F15A6">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 Liquidity Risk Monitoring Tools and LCR Disclosure Standards and Net Stable Funding ratio – Small Business Customers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Please refer to the following instructions:</w:t>
      </w:r>
    </w:p>
    <w:p w:rsidR="008F15A6" w:rsidRPr="00470480" w:rsidRDefault="008F15A6" w:rsidP="00CB6DAF">
      <w:pPr>
        <w:pStyle w:val="NormalWeb"/>
        <w:numPr>
          <w:ilvl w:val="0"/>
          <w:numId w:val="6"/>
        </w:numPr>
        <w:ind w:left="0"/>
        <w:jc w:val="both"/>
        <w:rPr>
          <w:rFonts w:ascii="Arial" w:hAnsi="Arial" w:cs="Arial"/>
          <w:color w:val="000000"/>
          <w:sz w:val="20"/>
          <w:szCs w:val="20"/>
        </w:rPr>
      </w:pPr>
      <w:hyperlink r:id="rId161" w:tgtFrame="_blank" w:history="1">
        <w:r w:rsidRPr="00470480">
          <w:rPr>
            <w:rStyle w:val="Hyperlink"/>
            <w:rFonts w:ascii="Arial" w:hAnsi="Arial" w:cs="Arial"/>
            <w:sz w:val="20"/>
            <w:szCs w:val="20"/>
          </w:rPr>
          <w:t>Circular DBOD.BP.BC.No.120/21.04.098/2013-14 dated June 09, 2014</w:t>
        </w:r>
      </w:hyperlink>
      <w:r w:rsidRPr="00470480">
        <w:rPr>
          <w:rFonts w:ascii="Arial" w:hAnsi="Arial" w:cs="Arial"/>
          <w:color w:val="000000"/>
          <w:sz w:val="20"/>
          <w:szCs w:val="20"/>
        </w:rPr>
        <w:t> on ‘Basel III Framework on Liquidity Standards – Liquidity Coverage Ratio (LCR), Liquidity Risk Monitoring Tools and LCR Disclosure Standards’;</w:t>
      </w:r>
    </w:p>
    <w:p w:rsidR="008F15A6" w:rsidRPr="00470480" w:rsidRDefault="008F15A6" w:rsidP="00CB6DAF">
      <w:pPr>
        <w:pStyle w:val="NormalWeb"/>
        <w:numPr>
          <w:ilvl w:val="0"/>
          <w:numId w:val="6"/>
        </w:numPr>
        <w:ind w:left="0"/>
        <w:jc w:val="both"/>
        <w:rPr>
          <w:rFonts w:ascii="Arial" w:hAnsi="Arial" w:cs="Arial"/>
          <w:color w:val="000000"/>
          <w:sz w:val="20"/>
          <w:szCs w:val="20"/>
        </w:rPr>
      </w:pPr>
      <w:hyperlink r:id="rId162" w:tgtFrame="_blank" w:history="1">
        <w:r w:rsidRPr="00470480">
          <w:rPr>
            <w:rStyle w:val="Hyperlink"/>
            <w:rFonts w:ascii="Arial" w:hAnsi="Arial" w:cs="Arial"/>
            <w:sz w:val="20"/>
            <w:szCs w:val="20"/>
          </w:rPr>
          <w:t>Circular DBR.BP.BC.No.106/21.04.098/2017-18 dated May 17, 2018</w:t>
        </w:r>
      </w:hyperlink>
      <w:r w:rsidRPr="00470480">
        <w:rPr>
          <w:rFonts w:ascii="Arial" w:hAnsi="Arial" w:cs="Arial"/>
          <w:color w:val="000000"/>
          <w:sz w:val="20"/>
          <w:szCs w:val="20"/>
        </w:rPr>
        <w:t> on ‘Standards – Net Stable Funding Ratio (NSFR) – Final Guidelines’;</w:t>
      </w:r>
    </w:p>
    <w:p w:rsidR="008F15A6" w:rsidRPr="00470480" w:rsidRDefault="008F15A6" w:rsidP="00CB6DAF">
      <w:pPr>
        <w:pStyle w:val="NormalWeb"/>
        <w:numPr>
          <w:ilvl w:val="0"/>
          <w:numId w:val="6"/>
        </w:numPr>
        <w:ind w:left="0"/>
        <w:jc w:val="both"/>
        <w:rPr>
          <w:rFonts w:ascii="Arial" w:hAnsi="Arial" w:cs="Arial"/>
          <w:color w:val="000000"/>
          <w:sz w:val="20"/>
          <w:szCs w:val="20"/>
        </w:rPr>
      </w:pPr>
      <w:hyperlink r:id="rId163" w:tgtFrame="_blank" w:history="1">
        <w:r w:rsidRPr="00470480">
          <w:rPr>
            <w:rStyle w:val="Hyperlink"/>
            <w:rFonts w:ascii="Arial" w:hAnsi="Arial" w:cs="Arial"/>
            <w:sz w:val="20"/>
            <w:szCs w:val="20"/>
          </w:rPr>
          <w:t>Circular DBR.No.BP.BC.80/21.06.201/2014-15 dated March 31, 2015</w:t>
        </w:r>
      </w:hyperlink>
      <w:r w:rsidRPr="00470480">
        <w:rPr>
          <w:rFonts w:ascii="Arial" w:hAnsi="Arial" w:cs="Arial"/>
          <w:color w:val="000000"/>
          <w:sz w:val="20"/>
          <w:szCs w:val="20"/>
        </w:rPr>
        <w:t> on ‘Prudential Guidelines on Capital Adequacy and Liquidity Standards – Amendments’; and,</w:t>
      </w:r>
    </w:p>
    <w:p w:rsidR="008F15A6" w:rsidRPr="00470480" w:rsidRDefault="008F15A6" w:rsidP="00CB6DAF">
      <w:pPr>
        <w:pStyle w:val="NormalWeb"/>
        <w:numPr>
          <w:ilvl w:val="0"/>
          <w:numId w:val="6"/>
        </w:numPr>
        <w:ind w:left="0"/>
        <w:jc w:val="both"/>
        <w:rPr>
          <w:rFonts w:ascii="Arial" w:hAnsi="Arial" w:cs="Arial"/>
          <w:color w:val="000000"/>
          <w:sz w:val="20"/>
          <w:szCs w:val="20"/>
        </w:rPr>
      </w:pPr>
      <w:hyperlink r:id="rId164" w:tgtFrame="_blank" w:history="1">
        <w:r w:rsidRPr="00470480">
          <w:rPr>
            <w:rStyle w:val="Hyperlink"/>
            <w:rFonts w:ascii="Arial" w:hAnsi="Arial" w:cs="Arial"/>
            <w:sz w:val="20"/>
            <w:szCs w:val="20"/>
          </w:rPr>
          <w:t>Circular DOR.No.BP.BC.23/21.06.201/2020-21 dated October 12, 2020</w:t>
        </w:r>
      </w:hyperlink>
      <w:r w:rsidRPr="00470480">
        <w:rPr>
          <w:rFonts w:ascii="Arial" w:hAnsi="Arial" w:cs="Arial"/>
          <w:color w:val="000000"/>
          <w:sz w:val="20"/>
          <w:szCs w:val="20"/>
        </w:rPr>
        <w:t> on ‘Regulatory Retail Portfolio – Revised Limit for Risk Weight’.</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 xml:space="preserve">2. With the objective to better align our guidelines with the BCBS standard and enable banks to manage liquidity risk more effectively, it has been decided to increase the threshold limit for deposits and other extensions of funds made by non-financial Small Business Customers </w:t>
      </w:r>
      <w:proofErr w:type="gramStart"/>
      <w:r w:rsidRPr="00470480">
        <w:rPr>
          <w:rFonts w:ascii="Arial" w:hAnsi="Arial" w:cs="Arial"/>
          <w:color w:val="000000"/>
          <w:sz w:val="20"/>
          <w:szCs w:val="20"/>
        </w:rPr>
        <w:t>from ₹ 5</w:t>
      </w:r>
      <w:proofErr w:type="gramEnd"/>
      <w:r w:rsidRPr="00470480">
        <w:rPr>
          <w:rFonts w:ascii="Arial" w:hAnsi="Arial" w:cs="Arial"/>
          <w:color w:val="000000"/>
          <w:sz w:val="20"/>
          <w:szCs w:val="20"/>
        </w:rPr>
        <w:t xml:space="preserve"> crore to ₹ 7.5 crore for the purpose of maintenance of Liquidity Coverage Ratio (LCR).</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3. The above modification is also applicable to deposits and other extensions of funds received from Small Business Customers referred to in the </w:t>
      </w:r>
      <w:hyperlink r:id="rId165" w:tgtFrame="_blank" w:history="1">
        <w:r w:rsidRPr="00470480">
          <w:rPr>
            <w:rStyle w:val="Hyperlink"/>
            <w:rFonts w:ascii="Arial" w:hAnsi="Arial" w:cs="Arial"/>
            <w:sz w:val="20"/>
            <w:szCs w:val="20"/>
          </w:rPr>
          <w:t>circular DBR.BP.BC.No.106/21.04.098/2017-18 dated May 17, 2018</w:t>
        </w:r>
      </w:hyperlink>
      <w:r w:rsidRPr="00470480">
        <w:rPr>
          <w:rFonts w:ascii="Arial" w:hAnsi="Arial" w:cs="Arial"/>
          <w:color w:val="000000"/>
          <w:sz w:val="20"/>
          <w:szCs w:val="20"/>
        </w:rPr>
        <w:t> on ‘Basel III Framework on Liquidity Standards – Net Stable Funding Ratio (NSFR) – Final Guidelines’.</w:t>
      </w:r>
    </w:p>
    <w:p w:rsidR="008F15A6" w:rsidRPr="00470480" w:rsidRDefault="008F15A6" w:rsidP="008F15A6">
      <w:pPr>
        <w:pStyle w:val="NormalWeb"/>
        <w:jc w:val="both"/>
        <w:rPr>
          <w:rFonts w:ascii="Arial" w:hAnsi="Arial" w:cs="Arial"/>
          <w:color w:val="000000"/>
          <w:sz w:val="20"/>
          <w:szCs w:val="20"/>
        </w:rPr>
      </w:pPr>
      <w:r w:rsidRPr="00470480">
        <w:rPr>
          <w:rFonts w:ascii="Arial" w:hAnsi="Arial" w:cs="Arial"/>
          <w:color w:val="000000"/>
          <w:sz w:val="20"/>
          <w:szCs w:val="20"/>
        </w:rPr>
        <w:t>4. The revised paragraphs after incorporating the above changes in the relevant circulars is given in </w:t>
      </w:r>
      <w:hyperlink r:id="rId166"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F15A6" w:rsidRDefault="008F15A6" w:rsidP="008F15A6">
      <w:pPr>
        <w:pStyle w:val="NormalWeb"/>
        <w:spacing w:before="0" w:beforeAutospacing="0" w:after="0" w:afterAutospacing="0"/>
        <w:rPr>
          <w:rFonts w:ascii="Arial" w:hAnsi="Arial" w:cs="Arial"/>
          <w:color w:val="000000"/>
          <w:sz w:val="20"/>
          <w:szCs w:val="20"/>
        </w:rPr>
      </w:pPr>
    </w:p>
    <w:p w:rsidR="008F15A6" w:rsidRDefault="008F15A6" w:rsidP="008F15A6">
      <w:pPr>
        <w:pStyle w:val="NormalWeb"/>
        <w:spacing w:before="0" w:beforeAutospacing="0" w:after="0" w:afterAutospacing="0"/>
        <w:rPr>
          <w:rFonts w:ascii="Arial" w:hAnsi="Arial" w:cs="Arial"/>
          <w:color w:val="000000"/>
          <w:sz w:val="20"/>
          <w:szCs w:val="20"/>
        </w:rPr>
      </w:pPr>
    </w:p>
    <w:p w:rsidR="008F15A6" w:rsidRPr="00470480" w:rsidRDefault="008F15A6" w:rsidP="008F15A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information on ‘Applicability’, refer to the link below.</w:t>
      </w:r>
    </w:p>
    <w:p w:rsidR="008F15A6" w:rsidRPr="00470480" w:rsidRDefault="008F15A6" w:rsidP="008F15A6">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67" w:history="1">
        <w:r w:rsidRPr="00470480">
          <w:rPr>
            <w:rStyle w:val="Hyperlink"/>
            <w:rFonts w:ascii="Arial" w:hAnsi="Arial" w:cs="Arial"/>
            <w:sz w:val="20"/>
            <w:szCs w:val="20"/>
          </w:rPr>
          <w:t>https://www.rbi.org.in/Scripts/NotificationUser.aspx?Id=12220&amp;Mode=0</w:t>
        </w:r>
      </w:hyperlink>
    </w:p>
    <w:p w:rsidR="008F15A6" w:rsidRDefault="008F15A6" w:rsidP="008F15A6">
      <w:pPr>
        <w:pStyle w:val="NormalWeb"/>
        <w:rPr>
          <w:rFonts w:ascii="Arial" w:hAnsi="Arial" w:cs="Arial"/>
          <w:b/>
          <w:bCs/>
          <w:color w:val="000000"/>
          <w:sz w:val="20"/>
          <w:szCs w:val="20"/>
        </w:rPr>
      </w:pPr>
    </w:p>
    <w:p w:rsidR="008F15A6" w:rsidRDefault="008F15A6" w:rsidP="008F15A6">
      <w:pPr>
        <w:pStyle w:val="NormalWeb"/>
        <w:rPr>
          <w:rFonts w:ascii="Arial" w:hAnsi="Arial" w:cs="Arial"/>
          <w:b/>
          <w:bCs/>
          <w:color w:val="000000"/>
          <w:sz w:val="20"/>
          <w:szCs w:val="20"/>
        </w:rPr>
      </w:pPr>
    </w:p>
    <w:p w:rsidR="008F15A6" w:rsidRDefault="008F15A6" w:rsidP="008F15A6">
      <w:pPr>
        <w:pStyle w:val="NormalWeb"/>
        <w:rPr>
          <w:rFonts w:ascii="Arial" w:hAnsi="Arial" w:cs="Arial"/>
          <w:b/>
          <w:bCs/>
          <w:color w:val="000000"/>
          <w:sz w:val="20"/>
          <w:szCs w:val="20"/>
        </w:rPr>
      </w:pPr>
    </w:p>
    <w:p w:rsidR="006A07B4" w:rsidRPr="006A07B4" w:rsidRDefault="006A07B4" w:rsidP="006A07B4">
      <w:pPr>
        <w:jc w:val="both"/>
      </w:pPr>
    </w:p>
    <w:sectPr w:rsidR="006A07B4" w:rsidRPr="006A0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704"/>
    <w:multiLevelType w:val="hybridMultilevel"/>
    <w:tmpl w:val="B98E1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395496"/>
    <w:multiLevelType w:val="multilevel"/>
    <w:tmpl w:val="AD6810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3B41EE4"/>
    <w:multiLevelType w:val="multilevel"/>
    <w:tmpl w:val="7168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81C5FEC"/>
    <w:multiLevelType w:val="multilevel"/>
    <w:tmpl w:val="4022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1AA4A3E"/>
    <w:multiLevelType w:val="multilevel"/>
    <w:tmpl w:val="E0CEC1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B4"/>
    <w:rsid w:val="00177167"/>
    <w:rsid w:val="006A07B4"/>
    <w:rsid w:val="008F15A6"/>
    <w:rsid w:val="00CB6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FE12"/>
  <w15:chartTrackingRefBased/>
  <w15:docId w15:val="{9B12A3F7-8D4C-492D-97D0-BFEBC2E9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7B4"/>
    <w:rPr>
      <w:color w:val="0000FF"/>
      <w:u w:val="single"/>
    </w:rPr>
  </w:style>
  <w:style w:type="paragraph" w:styleId="NormalWeb">
    <w:name w:val="Normal (Web)"/>
    <w:basedOn w:val="Normal"/>
    <w:uiPriority w:val="99"/>
    <w:unhideWhenUsed/>
    <w:rsid w:val="006A07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A07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F15A6"/>
    <w:rPr>
      <w:b/>
      <w:bCs/>
    </w:rPr>
  </w:style>
  <w:style w:type="character" w:customStyle="1" w:styleId="head1">
    <w:name w:val="head1"/>
    <w:basedOn w:val="DefaultParagraphFont"/>
    <w:rsid w:val="008F15A6"/>
  </w:style>
  <w:style w:type="paragraph" w:customStyle="1" w:styleId="msonormal0">
    <w:name w:val="msonormal"/>
    <w:basedOn w:val="Normal"/>
    <w:rsid w:val="008F15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F15A6"/>
    <w:rPr>
      <w:i/>
      <w:iCs/>
    </w:rPr>
  </w:style>
  <w:style w:type="table" w:styleId="TableGrid">
    <w:name w:val="Table Grid"/>
    <w:basedOn w:val="TableNormal"/>
    <w:uiPriority w:val="39"/>
    <w:rsid w:val="008F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301&amp;Mode=0" TargetMode="External"/><Relationship Id="rId117" Type="http://schemas.openxmlformats.org/officeDocument/2006/relationships/hyperlink" Target="https://www.rbi.org.in/Scripts/NotificationUser.aspx?Id=12270&amp;Mode=0" TargetMode="External"/><Relationship Id="rId21" Type="http://schemas.openxmlformats.org/officeDocument/2006/relationships/hyperlink" Target="https://www.rbi.org.in/Scripts/NotificationUser.aspx?Id=12303&amp;Mode=0" TargetMode="External"/><Relationship Id="rId42" Type="http://schemas.openxmlformats.org/officeDocument/2006/relationships/hyperlink" Target="https://www.rbi.org.in/Scripts/NotificationUser.aspx?Id=12293&amp;Mode=0" TargetMode="External"/><Relationship Id="rId47" Type="http://schemas.openxmlformats.org/officeDocument/2006/relationships/hyperlink" Target="https://www.rbi.org.in/Scripts/NotificationUser.aspx?Id=12291&amp;Mode=0" TargetMode="External"/><Relationship Id="rId63" Type="http://schemas.openxmlformats.org/officeDocument/2006/relationships/hyperlink" Target="https://www.rbi.org.in/Scripts/NotificationUser.aspx?Id=12288&amp;Mode=0" TargetMode="External"/><Relationship Id="rId68" Type="http://schemas.openxmlformats.org/officeDocument/2006/relationships/hyperlink" Target="https://www.rbi.org.in/Scripts/NotificationUser.aspx?Id=12288&amp;Mode=0" TargetMode="External"/><Relationship Id="rId84" Type="http://schemas.openxmlformats.org/officeDocument/2006/relationships/hyperlink" Target="https://www.rbi.org.in/Scripts/NotificationUser.aspx?Id=12283&amp;Mode=0" TargetMode="External"/><Relationship Id="rId89" Type="http://schemas.openxmlformats.org/officeDocument/2006/relationships/hyperlink" Target="https://www.rbi.org.in/Scripts/NotificationUser.aspx?Id=12282&amp;Mode=0" TargetMode="External"/><Relationship Id="rId112" Type="http://schemas.openxmlformats.org/officeDocument/2006/relationships/hyperlink" Target="https://www.rbi.org.in/Scripts/NotificationUser.aspx?Id=12278&amp;Mode=0" TargetMode="External"/><Relationship Id="rId133" Type="http://schemas.openxmlformats.org/officeDocument/2006/relationships/hyperlink" Target="https://rbi.org.in/Scripts/BS_ViewMasDirections.aspx?id=12153" TargetMode="External"/><Relationship Id="rId138" Type="http://schemas.openxmlformats.org/officeDocument/2006/relationships/hyperlink" Target="https://www.rbi.org.in/Scripts/NotificationUser.aspx?Id=12256&amp;Mode=0" TargetMode="External"/><Relationship Id="rId154" Type="http://schemas.openxmlformats.org/officeDocument/2006/relationships/hyperlink" Target="https://rbi.org.in/Scripts/BS_PressReleaseDisplay.aspx?prid=51138" TargetMode="External"/><Relationship Id="rId159" Type="http://schemas.openxmlformats.org/officeDocument/2006/relationships/hyperlink" Target="https://www.rbi.org.in/Scripts/NotificationUser.aspx?Id=12225&amp;Mode=0" TargetMode="External"/><Relationship Id="rId16" Type="http://schemas.openxmlformats.org/officeDocument/2006/relationships/hyperlink" Target="https://www.rbi.org.in/Scripts/NotificationUser.aspx?Id=12158&amp;Mode=0" TargetMode="External"/><Relationship Id="rId107" Type="http://schemas.openxmlformats.org/officeDocument/2006/relationships/hyperlink" Target="https://www.rbi.org.in/Scripts/NotificationUser.aspx?Id=12281&amp;Mode=0" TargetMode="External"/><Relationship Id="rId11" Type="http://schemas.openxmlformats.org/officeDocument/2006/relationships/hyperlink" Target="https://www.rbi.org.in/Scripts/NotificationUser.aspx?Id=12325&amp;Mode=0" TargetMode="External"/><Relationship Id="rId32" Type="http://schemas.openxmlformats.org/officeDocument/2006/relationships/hyperlink" Target="https://www.rbi.org.in/Scripts/NotificationUser.aspx?Id=12297&amp;Mode=0" TargetMode="External"/><Relationship Id="rId37" Type="http://schemas.openxmlformats.org/officeDocument/2006/relationships/hyperlink" Target="https://www.rbi.org.in/Scripts/NotificationUser.aspx?Id=12294&amp;Mode=0" TargetMode="External"/><Relationship Id="rId53" Type="http://schemas.openxmlformats.org/officeDocument/2006/relationships/hyperlink" Target="https://rbi.org.in/Scripts/BS_ViewMasCirculardetails.aspx?id=9880" TargetMode="External"/><Relationship Id="rId58" Type="http://schemas.openxmlformats.org/officeDocument/2006/relationships/hyperlink" Target="https://www.rbi.org.in/Scripts/NotificationUser.aspx?Id=12288&amp;Mode=0" TargetMode="External"/><Relationship Id="rId74" Type="http://schemas.openxmlformats.org/officeDocument/2006/relationships/hyperlink" Target="https://www.rbi.org.in/Scripts/NotificationUser.aspx?Id=12288&amp;Mode=0" TargetMode="External"/><Relationship Id="rId79" Type="http://schemas.openxmlformats.org/officeDocument/2006/relationships/hyperlink" Target="https://www.rbi.org.in/Scripts/NotificationUser.aspx?Id=12287&amp;Mode=0" TargetMode="External"/><Relationship Id="rId102" Type="http://schemas.openxmlformats.org/officeDocument/2006/relationships/hyperlink" Target="https://www.rbi.org.in/Scripts/NotificationUser.aspx?Id=12282&amp;Mode=0" TargetMode="External"/><Relationship Id="rId123" Type="http://schemas.openxmlformats.org/officeDocument/2006/relationships/hyperlink" Target="https://www.rbi.org.in/Scripts/NotificationUser.aspx?Id=12268&amp;Mode=0" TargetMode="External"/><Relationship Id="rId128" Type="http://schemas.openxmlformats.org/officeDocument/2006/relationships/hyperlink" Target="https://www.rbi.org.in/Scripts/BS_ViewMasDirections.aspx?id=12153" TargetMode="External"/><Relationship Id="rId144" Type="http://schemas.openxmlformats.org/officeDocument/2006/relationships/hyperlink" Target="https://www.rbi.org.in/Scripts/NotificationUser.aspx?Id=4808&amp;Mode=0" TargetMode="External"/><Relationship Id="rId149" Type="http://schemas.openxmlformats.org/officeDocument/2006/relationships/hyperlink" Target="https://www.rbi.org.in/Scripts/NotificationUser.aspx?Id=12194&amp;Mode=0" TargetMode="External"/><Relationship Id="rId5" Type="http://schemas.openxmlformats.org/officeDocument/2006/relationships/hyperlink" Target="https://www.rbi.org.in/Scripts/BS_ViewMasDirections.aspx?id=12166" TargetMode="External"/><Relationship Id="rId90" Type="http://schemas.openxmlformats.org/officeDocument/2006/relationships/hyperlink" Target="https://www.rbi.org.in/Scripts/NotificationUser.aspx?Id=12282&amp;Mode=0" TargetMode="External"/><Relationship Id="rId95" Type="http://schemas.openxmlformats.org/officeDocument/2006/relationships/hyperlink" Target="https://www.rbi.org.in/Scripts/NotificationUser.aspx?Id=12282&amp;Mode=0" TargetMode="External"/><Relationship Id="rId160" Type="http://schemas.openxmlformats.org/officeDocument/2006/relationships/hyperlink" Target="https://www.rbi.org.in/Scripts/NotificationUser.aspx?Id=12225&amp;Mode=0" TargetMode="External"/><Relationship Id="rId165" Type="http://schemas.openxmlformats.org/officeDocument/2006/relationships/hyperlink" Target="https://www.rbi.org.in/Scripts/NotificationUser.aspx?Id=11278&amp;Mode=0" TargetMode="External"/><Relationship Id="rId22" Type="http://schemas.openxmlformats.org/officeDocument/2006/relationships/hyperlink" Target="https://www.rbi.org.in/Scripts/NotificationUser.aspx?Id=12303&amp;Mode=0" TargetMode="External"/><Relationship Id="rId27" Type="http://schemas.openxmlformats.org/officeDocument/2006/relationships/hyperlink" Target="https://www.rbi.org.in/Scripts/NotificationUser.aspx?Id=12301&amp;Mode=0" TargetMode="External"/><Relationship Id="rId43" Type="http://schemas.openxmlformats.org/officeDocument/2006/relationships/hyperlink" Target="https://www.rbi.org.in/Scripts/NotificationUser.aspx?Id=12179&amp;Mode=0" TargetMode="External"/><Relationship Id="rId48" Type="http://schemas.openxmlformats.org/officeDocument/2006/relationships/hyperlink" Target="https://www.rbi.org.in/Scripts/NotificationUser.aspx?Id=12179&amp;Mode=0" TargetMode="External"/><Relationship Id="rId64" Type="http://schemas.openxmlformats.org/officeDocument/2006/relationships/hyperlink" Target="https://www.rbi.org.in/Scripts/NotificationUser.aspx?Id=12288&amp;Mode=0" TargetMode="External"/><Relationship Id="rId69" Type="http://schemas.openxmlformats.org/officeDocument/2006/relationships/hyperlink" Target="https://www.rbi.org.in/Scripts/NotificationUser.aspx?Id=12288&amp;Mode=0" TargetMode="External"/><Relationship Id="rId113" Type="http://schemas.openxmlformats.org/officeDocument/2006/relationships/hyperlink" Target="https://rbi.org.in/Scripts/BS_ViewMasCirculardetails.aspx?id=12053" TargetMode="External"/><Relationship Id="rId118" Type="http://schemas.openxmlformats.org/officeDocument/2006/relationships/hyperlink" Target="https://www.rbi.org.in/Scripts/NotificationUser.aspx?Id=12270&amp;Mode=0" TargetMode="External"/><Relationship Id="rId134" Type="http://schemas.openxmlformats.org/officeDocument/2006/relationships/hyperlink" Target="https://www.rbi.org.in/Scripts/NotificationUser.aspx?Id=12258&amp;Mode=0" TargetMode="External"/><Relationship Id="rId139" Type="http://schemas.openxmlformats.org/officeDocument/2006/relationships/hyperlink" Target="https://www.rbi.org.in/Scripts/NotificationUser.aspx?Id=12256&amp;Mode=0" TargetMode="External"/><Relationship Id="rId80" Type="http://schemas.openxmlformats.org/officeDocument/2006/relationships/hyperlink" Target="https://rbi.org.in/Scripts/NotificationUser.aspx?Id=11984&amp;Mode=0" TargetMode="External"/><Relationship Id="rId85" Type="http://schemas.openxmlformats.org/officeDocument/2006/relationships/hyperlink" Target="https://www.rbi.org.in/Scripts/NotificationUser.aspx?Id=12283&amp;Mode=0" TargetMode="External"/><Relationship Id="rId150" Type="http://schemas.openxmlformats.org/officeDocument/2006/relationships/hyperlink" Target="https://www.rbi.org.in/Scripts/NotificationUser.aspx?Id=12230&amp;Mode=0" TargetMode="External"/><Relationship Id="rId155" Type="http://schemas.openxmlformats.org/officeDocument/2006/relationships/hyperlink" Target="https://www.rbi.org.in/Scripts/NotificationUser.aspx?Id=12226&amp;Mode=0" TargetMode="External"/><Relationship Id="rId12" Type="http://schemas.openxmlformats.org/officeDocument/2006/relationships/hyperlink" Target="https://www.rbi.org.in/Scripts/BS_ViewMasDirections.aspx?id=10201" TargetMode="External"/><Relationship Id="rId17" Type="http://schemas.openxmlformats.org/officeDocument/2006/relationships/hyperlink" Target="https://www.rbi.org.in/Scripts/NotificationUser.aspx?Id=12322&amp;Mode=0" TargetMode="External"/><Relationship Id="rId33" Type="http://schemas.openxmlformats.org/officeDocument/2006/relationships/hyperlink" Target="https://www.rbi.org.in/Scripts/NotificationUser.aspx?Id=12179&amp;Mode=0" TargetMode="External"/><Relationship Id="rId38" Type="http://schemas.openxmlformats.org/officeDocument/2006/relationships/hyperlink" Target="https://www.rbi.org.in/Scripts/NotificationUser.aspx?Id=12294&amp;Mode=0" TargetMode="External"/><Relationship Id="rId59" Type="http://schemas.openxmlformats.org/officeDocument/2006/relationships/hyperlink" Target="https://www.rbi.org.in/Scripts/NotificationUser.aspx?Id=12288&amp;Mode=0" TargetMode="External"/><Relationship Id="rId103" Type="http://schemas.openxmlformats.org/officeDocument/2006/relationships/hyperlink" Target="https://www.rbi.org.in/Scripts/NotificationUser.aspx?Id=12282&amp;Mode=0" TargetMode="External"/><Relationship Id="rId108" Type="http://schemas.openxmlformats.org/officeDocument/2006/relationships/hyperlink" Target="https://www.rbi.org.in/Scripts/NotificationUser.aspx?Id=12281&amp;Mode=0" TargetMode="External"/><Relationship Id="rId124" Type="http://schemas.openxmlformats.org/officeDocument/2006/relationships/hyperlink" Target="https://www.rbi.org.in/Scripts/NotificationUser.aspx?Id=12267&amp;Mode=0" TargetMode="External"/><Relationship Id="rId129" Type="http://schemas.openxmlformats.org/officeDocument/2006/relationships/hyperlink" Target="https://www.rbi.org.in/Scripts/NotificationUser.aspx?Id=12264&amp;Mode=0" TargetMode="External"/><Relationship Id="rId54" Type="http://schemas.openxmlformats.org/officeDocument/2006/relationships/hyperlink" Target="https://www.rbi.org.in/Scripts/NotificationUser.aspx?Id=12288&amp;Mode=0" TargetMode="External"/><Relationship Id="rId70" Type="http://schemas.openxmlformats.org/officeDocument/2006/relationships/hyperlink" Target="https://www.rbi.org.in/Scripts/NotificationUser.aspx?Id=12288&amp;Mode=0" TargetMode="External"/><Relationship Id="rId75" Type="http://schemas.openxmlformats.org/officeDocument/2006/relationships/hyperlink" Target="https://www.rbi.org.in/Scripts/NotificationUser.aspx?Id=12288&amp;Mode=0" TargetMode="External"/><Relationship Id="rId91" Type="http://schemas.openxmlformats.org/officeDocument/2006/relationships/hyperlink" Target="https://www.rbi.org.in/Scripts/NotificationUser.aspx?Id=12282&amp;Mode=0" TargetMode="External"/><Relationship Id="rId96" Type="http://schemas.openxmlformats.org/officeDocument/2006/relationships/hyperlink" Target="https://www.rbi.org.in/Scripts/NotificationUser.aspx?Id=12282&amp;Mode=0" TargetMode="External"/><Relationship Id="rId140" Type="http://schemas.openxmlformats.org/officeDocument/2006/relationships/hyperlink" Target="https://www.rbi.org.in/Scripts/NotificationUser.aspx?Id=12124&amp;Mode=0" TargetMode="External"/><Relationship Id="rId145" Type="http://schemas.openxmlformats.org/officeDocument/2006/relationships/hyperlink" Target="https://www.rbi.org.in/Scripts/NotificationUser.aspx?Id=12249&amp;Mode=0" TargetMode="External"/><Relationship Id="rId161" Type="http://schemas.openxmlformats.org/officeDocument/2006/relationships/hyperlink" Target="https://www.rbi.org.in/Scripts/NotificationUser.aspx?Id=8934&amp;Mode=0" TargetMode="External"/><Relationship Id="rId166" Type="http://schemas.openxmlformats.org/officeDocument/2006/relationships/hyperlink" Target="https://www.rbi.org.in/Scripts/NotificationUser.aspx?Id=12220&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 Id="rId15" Type="http://schemas.openxmlformats.org/officeDocument/2006/relationships/hyperlink" Target="https://www.rbi.org.in/Scripts/NotificationUser.aspx?Id=12322&amp;Mode=0" TargetMode="External"/><Relationship Id="rId23" Type="http://schemas.openxmlformats.org/officeDocument/2006/relationships/hyperlink" Target="https://www.rbi.org.in/Scripts/NotificationUser.aspx?Id=12303&amp;Mode=0" TargetMode="External"/><Relationship Id="rId28" Type="http://schemas.openxmlformats.org/officeDocument/2006/relationships/hyperlink" Target="https://www.rbi.org.in/Scripts/NotificationUser.aspx?Id=12301&amp;Mode=0" TargetMode="External"/><Relationship Id="rId36" Type="http://schemas.openxmlformats.org/officeDocument/2006/relationships/hyperlink" Target="https://www.rbi.org.in/Scripts/NotificationUser.aspx?Id=12179&amp;Mode=0" TargetMode="External"/><Relationship Id="rId49" Type="http://schemas.openxmlformats.org/officeDocument/2006/relationships/hyperlink" Target="https://www.rbi.org.in/Scripts/NotificationUser.aspx?Id=12290&amp;Mode=0" TargetMode="External"/><Relationship Id="rId57" Type="http://schemas.openxmlformats.org/officeDocument/2006/relationships/hyperlink" Target="https://www.rbi.org.in/Scripts/NotificationUser.aspx?Id=12288&amp;Mode=0" TargetMode="External"/><Relationship Id="rId106" Type="http://schemas.openxmlformats.org/officeDocument/2006/relationships/hyperlink" Target="https://www.rbi.org.in/Scripts/BS_ViewMasCirculardetails.aspx?id=12171" TargetMode="External"/><Relationship Id="rId114" Type="http://schemas.openxmlformats.org/officeDocument/2006/relationships/hyperlink" Target="https://www.rbi.org.in/Scripts/NotificationUser.aspx?Id=12273&amp;Mode=0" TargetMode="External"/><Relationship Id="rId119" Type="http://schemas.openxmlformats.org/officeDocument/2006/relationships/hyperlink" Target="https://www.rbi.org.in/Scripts/NotificationUser.aspx?Id=12269&amp;Mode=0" TargetMode="External"/><Relationship Id="rId127" Type="http://schemas.openxmlformats.org/officeDocument/2006/relationships/hyperlink" Target="https://www.rbi.org.in/Scripts/NotificationUser.aspx?Id=12267&amp;Mode=0" TargetMode="External"/><Relationship Id="rId10" Type="http://schemas.openxmlformats.org/officeDocument/2006/relationships/hyperlink" Target="https://www.rbi.org.in/Scripts/NotificationUser.aspx?Id=12334&amp;Mode=0" TargetMode="External"/><Relationship Id="rId31" Type="http://schemas.openxmlformats.org/officeDocument/2006/relationships/hyperlink" Target="https://www.rbi.org.in/Scripts/NotificationUser.aspx?Id=12299&amp;Mode=0" TargetMode="External"/><Relationship Id="rId44" Type="http://schemas.openxmlformats.org/officeDocument/2006/relationships/hyperlink" Target="https://rbidocs.rbi.org.in/rdocs/content/pdfs/NOTI26_AN.pdf" TargetMode="External"/><Relationship Id="rId52" Type="http://schemas.openxmlformats.org/officeDocument/2006/relationships/hyperlink" Target="https://www.rbi.org.in/Scripts/NotificationUser.aspx?Id=12290&amp;Mode=0" TargetMode="External"/><Relationship Id="rId60" Type="http://schemas.openxmlformats.org/officeDocument/2006/relationships/hyperlink" Target="https://www.rbi.org.in/Scripts/NotificationUser.aspx?Id=12288&amp;Mode=0" TargetMode="External"/><Relationship Id="rId65" Type="http://schemas.openxmlformats.org/officeDocument/2006/relationships/hyperlink" Target="https://www.rbi.org.in/Scripts/NotificationUser.aspx?Id=12288&amp;Mode=0" TargetMode="External"/><Relationship Id="rId73" Type="http://schemas.openxmlformats.org/officeDocument/2006/relationships/hyperlink" Target="https://www.rbi.org.in/Scripts/NotificationUser.aspx?Id=12288&amp;Mode=0" TargetMode="External"/><Relationship Id="rId78" Type="http://schemas.openxmlformats.org/officeDocument/2006/relationships/hyperlink" Target="https://www.rbi.org.in/Scripts/BS_ViewMasDirections.aspx?id=12153" TargetMode="External"/><Relationship Id="rId81" Type="http://schemas.openxmlformats.org/officeDocument/2006/relationships/hyperlink" Target="https://rbi.org.in/Scripts/NotificationUser.aspx?Id=11984&amp;Mode=0" TargetMode="External"/><Relationship Id="rId86" Type="http://schemas.openxmlformats.org/officeDocument/2006/relationships/hyperlink" Target="https://www.rbi.org.in/Scripts/NotificationUser.aspx?Id=12283&amp;Mode=0" TargetMode="External"/><Relationship Id="rId94" Type="http://schemas.openxmlformats.org/officeDocument/2006/relationships/hyperlink" Target="https://www.rbi.org.in/Scripts/NotificationUser.aspx?Id=12282&amp;Mode=0" TargetMode="External"/><Relationship Id="rId99" Type="http://schemas.openxmlformats.org/officeDocument/2006/relationships/hyperlink" Target="https://www.rbi.org.in/Scripts/NotificationUser.aspx?Id=12282&amp;Mode=0" TargetMode="External"/><Relationship Id="rId101" Type="http://schemas.openxmlformats.org/officeDocument/2006/relationships/hyperlink" Target="https://www.rbi.org.in/Scripts/NotificationUser.aspx?Id=12282&amp;Mode=0" TargetMode="External"/><Relationship Id="rId122" Type="http://schemas.openxmlformats.org/officeDocument/2006/relationships/hyperlink" Target="https://www.rbi.org.in/Scripts/NotificationUser.aspx?Id=12268&amp;Mode=0" TargetMode="External"/><Relationship Id="rId130" Type="http://schemas.openxmlformats.org/officeDocument/2006/relationships/hyperlink" Target="https://www.rbi.org.in/Scripts/NotificationUser.aspx?Id=11256&amp;Mode=0" TargetMode="External"/><Relationship Id="rId135" Type="http://schemas.openxmlformats.org/officeDocument/2006/relationships/hyperlink" Target="https://rbi.org.in/Scripts/BS_PressReleaseDisplay.aspx?prid=51078" TargetMode="External"/><Relationship Id="rId143" Type="http://schemas.openxmlformats.org/officeDocument/2006/relationships/hyperlink" Target="https://www.rbi.org.in/Scripts/NotificationUser.aspx?Id=12251&amp;Mode=0" TargetMode="External"/><Relationship Id="rId148" Type="http://schemas.openxmlformats.org/officeDocument/2006/relationships/hyperlink" Target="https://www.rbi.org.in/Scripts/NotificationUser.aspx?Id=12243&amp;Mode=0" TargetMode="External"/><Relationship Id="rId151" Type="http://schemas.openxmlformats.org/officeDocument/2006/relationships/hyperlink" Target="https://www.rbi.org.in/Scripts/NotificationUser.aspx?Id=12230&amp;Mode=0" TargetMode="External"/><Relationship Id="rId156" Type="http://schemas.openxmlformats.org/officeDocument/2006/relationships/hyperlink" Target="https://www.rbi.org.in/Scripts/NotificationUser.aspx?Id=12226&amp;Mode=0" TargetMode="External"/><Relationship Id="rId164" Type="http://schemas.openxmlformats.org/officeDocument/2006/relationships/hyperlink" Target="https://www.rbi.org.in/Scripts/NotificationUser.aspx?Id=11981&amp;Mode=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342&amp;Mode=0" TargetMode="External"/><Relationship Id="rId13" Type="http://schemas.openxmlformats.org/officeDocument/2006/relationships/hyperlink" Target="https://www.rbi.org.in/Scripts/NotificationUser.aspx?Id=12324&amp;Mode=0" TargetMode="External"/><Relationship Id="rId18" Type="http://schemas.openxmlformats.org/officeDocument/2006/relationships/hyperlink" Target="https://www.rbi.org.in/Scripts/NotificationUser.aspx?Id=12179&amp;Mode=0" TargetMode="External"/><Relationship Id="rId39" Type="http://schemas.openxmlformats.org/officeDocument/2006/relationships/hyperlink" Target="https://www.rbi.org.in/Scripts/NotificationUser.aspx?Id=11945&amp;Mode=0" TargetMode="External"/><Relationship Id="rId109" Type="http://schemas.openxmlformats.org/officeDocument/2006/relationships/hyperlink" Target="https://www.rbi.org.in/Scripts/NotificationUser.aspx?Id=12281&amp;Mode=0" TargetMode="External"/><Relationship Id="rId34" Type="http://schemas.openxmlformats.org/officeDocument/2006/relationships/image" Target="media/image1.jpeg"/><Relationship Id="rId50" Type="http://schemas.openxmlformats.org/officeDocument/2006/relationships/hyperlink" Target="https://www.rbi.org.in/Scripts/NotificationUser.aspx?Id=12290&amp;Mode=0" TargetMode="External"/><Relationship Id="rId55" Type="http://schemas.openxmlformats.org/officeDocument/2006/relationships/hyperlink" Target="https://www.rbi.org.in/Scripts/NotificationUser.aspx?Id=12288&amp;Mode=0" TargetMode="External"/><Relationship Id="rId76" Type="http://schemas.openxmlformats.org/officeDocument/2006/relationships/hyperlink" Target="https://www.rbi.org.in/Scripts/BS_PressReleaseDisplay.aspx?prid=53536" TargetMode="External"/><Relationship Id="rId97" Type="http://schemas.openxmlformats.org/officeDocument/2006/relationships/hyperlink" Target="https://www.rbi.org.in/Scripts/NotificationUser.aspx?Id=12282&amp;Mode=0" TargetMode="External"/><Relationship Id="rId104" Type="http://schemas.openxmlformats.org/officeDocument/2006/relationships/hyperlink" Target="https://www.rbi.org.in/Scripts/NotificationUser.aspx?Id=12282&amp;Mode=0" TargetMode="External"/><Relationship Id="rId120" Type="http://schemas.openxmlformats.org/officeDocument/2006/relationships/hyperlink" Target="https://www.rbi.org.in/Scripts/NotificationUser.aspx?Id=12269&amp;Mode=0" TargetMode="External"/><Relationship Id="rId125" Type="http://schemas.openxmlformats.org/officeDocument/2006/relationships/hyperlink" Target="https://www.rbi.org.in/Scripts/NotificationUser.aspx?Id=1145&amp;Mode=0" TargetMode="External"/><Relationship Id="rId141" Type="http://schemas.openxmlformats.org/officeDocument/2006/relationships/hyperlink" Target="https://www.rbi.org.in/Scripts/NotificationUser.aspx?Id=12252&amp;Mode=0" TargetMode="External"/><Relationship Id="rId146" Type="http://schemas.openxmlformats.org/officeDocument/2006/relationships/hyperlink" Target="https://www.rbi.org.in/Scripts/BS_ViewMasCirculardetails.aspx?id=9851" TargetMode="External"/><Relationship Id="rId167" Type="http://schemas.openxmlformats.org/officeDocument/2006/relationships/hyperlink" Target="https://www.rbi.org.in/Scripts/NotificationUser.aspx?Id=12220&amp;Mode=0" TargetMode="External"/><Relationship Id="rId7" Type="http://schemas.openxmlformats.org/officeDocument/2006/relationships/hyperlink" Target="https://www.rbi.org.in/Scripts/NotificationUser.aspx?Id=12346&amp;Mode=0" TargetMode="External"/><Relationship Id="rId71" Type="http://schemas.openxmlformats.org/officeDocument/2006/relationships/hyperlink" Target="https://www.rbi.org.in/Scripts/NotificationUser.aspx?Id=12288&amp;Mode=0" TargetMode="External"/><Relationship Id="rId92" Type="http://schemas.openxmlformats.org/officeDocument/2006/relationships/hyperlink" Target="https://www.rbi.org.in/Scripts/NotificationUser.aspx?Id=12282&amp;Mode=0" TargetMode="External"/><Relationship Id="rId162" Type="http://schemas.openxmlformats.org/officeDocument/2006/relationships/hyperlink" Target="https://www.rbi.org.in/Scripts/NotificationUser.aspx?Id=11278&amp;Mode=0" TargetMode="External"/><Relationship Id="rId2" Type="http://schemas.openxmlformats.org/officeDocument/2006/relationships/styles" Target="styles.xml"/><Relationship Id="rId29" Type="http://schemas.openxmlformats.org/officeDocument/2006/relationships/hyperlink" Target="https://www.rbi.org.in/Scripts/NotificationUser.aspx?Id=12301&amp;Mode=0" TargetMode="External"/><Relationship Id="rId24" Type="http://schemas.openxmlformats.org/officeDocument/2006/relationships/hyperlink" Target="https://www.rbi.org.in/Scripts/NotificationUser.aspx?Id=11154&amp;Mode=0" TargetMode="External"/><Relationship Id="rId40" Type="http://schemas.openxmlformats.org/officeDocument/2006/relationships/hyperlink" Target="https://www.rbi.org.in/Scripts/NotificationUser.aspx?Id=12293&amp;Mode=0" TargetMode="External"/><Relationship Id="rId45" Type="http://schemas.openxmlformats.org/officeDocument/2006/relationships/hyperlink" Target="https://www.rbi.org.in/Scripts/NotificationUser.aspx?Id=12292&amp;Mode=0" TargetMode="External"/><Relationship Id="rId66" Type="http://schemas.openxmlformats.org/officeDocument/2006/relationships/hyperlink" Target="https://www.rbi.org.in/Scripts/NotificationUser.aspx?Id=12288&amp;Mode=0" TargetMode="External"/><Relationship Id="rId87" Type="http://schemas.openxmlformats.org/officeDocument/2006/relationships/hyperlink" Target="https://www.rbi.org.in/Scripts/BS_ViewMasCirculardetails.aspx?id=12243" TargetMode="External"/><Relationship Id="rId110" Type="http://schemas.openxmlformats.org/officeDocument/2006/relationships/hyperlink" Target="https://www.rbi.org.in/Scripts/BS_ViewMasCirculardetails.aspx?id=9859" TargetMode="External"/><Relationship Id="rId115" Type="http://schemas.openxmlformats.org/officeDocument/2006/relationships/hyperlink" Target="https://www.rbi.org.in/" TargetMode="External"/><Relationship Id="rId131" Type="http://schemas.openxmlformats.org/officeDocument/2006/relationships/hyperlink" Target="https://www.rbi.org.in/Scripts/NotificationUser.aspx?Id=12130&amp;Mode=0" TargetMode="External"/><Relationship Id="rId136" Type="http://schemas.openxmlformats.org/officeDocument/2006/relationships/hyperlink" Target="https://rbi.org.in/Scripts/BS_PressReleaseDisplay.aspx?prid=51077" TargetMode="External"/><Relationship Id="rId157" Type="http://schemas.openxmlformats.org/officeDocument/2006/relationships/hyperlink" Target="https://www.rbi.org.in/Scripts/NotificationUser.aspx?Id=12225&amp;Mode=0" TargetMode="External"/><Relationship Id="rId61" Type="http://schemas.openxmlformats.org/officeDocument/2006/relationships/hyperlink" Target="https://www.rbi.org.in/Scripts/NotificationUser.aspx?Id=12288&amp;Mode=0" TargetMode="External"/><Relationship Id="rId82" Type="http://schemas.openxmlformats.org/officeDocument/2006/relationships/hyperlink" Target="https://www.rbi.org.in/Scripts/NotificationUser.aspx?Id=12286&amp;Mode=0" TargetMode="External"/><Relationship Id="rId152" Type="http://schemas.openxmlformats.org/officeDocument/2006/relationships/hyperlink" Target="https://rbi.org.in/Scripts/BS_PressReleaseDisplay.aspx?prid=53248" TargetMode="External"/><Relationship Id="rId19" Type="http://schemas.openxmlformats.org/officeDocument/2006/relationships/hyperlink" Target="https://www.rbi.org.in/Scripts/NotificationUser.aspx?Id=12303&amp;Mode=0" TargetMode="External"/><Relationship Id="rId14" Type="http://schemas.openxmlformats.org/officeDocument/2006/relationships/hyperlink" Target="https://www.rbi.org.in/Scripts/NotificationUser.aspx?Id=12158&amp;Mode=0" TargetMode="External"/><Relationship Id="rId30" Type="http://schemas.openxmlformats.org/officeDocument/2006/relationships/hyperlink" Target="https://www.rbi.org.in/Scripts/NotificationUser.aspx?Id=12300&amp;Mode=0" TargetMode="External"/><Relationship Id="rId35" Type="http://schemas.openxmlformats.org/officeDocument/2006/relationships/hyperlink" Target="https://www.rbi.org.in/Scripts/NotificationUser.aspx?Id=12296&amp;Mode=0" TargetMode="External"/><Relationship Id="rId56" Type="http://schemas.openxmlformats.org/officeDocument/2006/relationships/hyperlink" Target="https://www.rbi.org.in/Scripts/NotificationUser.aspx?Id=12288&amp;Mode=0" TargetMode="External"/><Relationship Id="rId77" Type="http://schemas.openxmlformats.org/officeDocument/2006/relationships/hyperlink" Target="https://www.rbi.org.in/Scripts/BS_PressReleaseDisplay.aspx?prid=53537" TargetMode="External"/><Relationship Id="rId100" Type="http://schemas.openxmlformats.org/officeDocument/2006/relationships/hyperlink" Target="https://www.rbi.org.in/Scripts/NotificationUser.aspx?Id=12282&amp;Mode=0" TargetMode="External"/><Relationship Id="rId105" Type="http://schemas.openxmlformats.org/officeDocument/2006/relationships/hyperlink" Target="https://www.rbi.org.in/Scripts/NotificationUser.aspx?Id=12282&amp;Mode=0" TargetMode="External"/><Relationship Id="rId126" Type="http://schemas.openxmlformats.org/officeDocument/2006/relationships/hyperlink" Target="https://www.rbi.org.in/Scripts/NotificationUser.aspx?Id=12267&amp;Mode=0" TargetMode="External"/><Relationship Id="rId147" Type="http://schemas.openxmlformats.org/officeDocument/2006/relationships/hyperlink" Target="https://www.rbi.org.in/Scripts/NotificationUser.aspx?Id=12243&amp;Mode=0" TargetMode="External"/><Relationship Id="rId168" Type="http://schemas.openxmlformats.org/officeDocument/2006/relationships/fontTable" Target="fontTable.xml"/><Relationship Id="rId8" Type="http://schemas.openxmlformats.org/officeDocument/2006/relationships/hyperlink" Target="https://rbi.org.in/Scripts/BS_ViewMasDirections.aspx?id=12300" TargetMode="External"/><Relationship Id="rId51" Type="http://schemas.openxmlformats.org/officeDocument/2006/relationships/hyperlink" Target="https://www.rbi.org.in/Scripts/NotificationUser.aspx?Id=12290&amp;Mode=0" TargetMode="External"/><Relationship Id="rId72" Type="http://schemas.openxmlformats.org/officeDocument/2006/relationships/hyperlink" Target="https://www.rbi.org.in/Scripts/NotificationUser.aspx?Id=12288&amp;Mode=0" TargetMode="External"/><Relationship Id="rId93" Type="http://schemas.openxmlformats.org/officeDocument/2006/relationships/hyperlink" Target="https://www.rbi.org.in/Scripts/NotificationUser.aspx?Id=12282&amp;Mode=0" TargetMode="External"/><Relationship Id="rId98" Type="http://schemas.openxmlformats.org/officeDocument/2006/relationships/hyperlink" Target="https://www.rbi.org.in/Scripts/NotificationUser.aspx?Id=12282&amp;Mode=0" TargetMode="External"/><Relationship Id="rId121" Type="http://schemas.openxmlformats.org/officeDocument/2006/relationships/hyperlink" Target="https://www.rbi.org.in/Scripts/BS_ViewMasCirculardetails.aspx?id=12054" TargetMode="External"/><Relationship Id="rId142" Type="http://schemas.openxmlformats.org/officeDocument/2006/relationships/hyperlink" Target="https://www.rbi.org.in/Scripts/NotificationUser.aspx?Id=12252&amp;Mode=0" TargetMode="External"/><Relationship Id="rId163" Type="http://schemas.openxmlformats.org/officeDocument/2006/relationships/hyperlink" Target="https://www.rbi.org.in/Scripts/NotificationUser.aspx?Id=9631&amp;Mode=0" TargetMode="External"/><Relationship Id="rId3" Type="http://schemas.openxmlformats.org/officeDocument/2006/relationships/settings" Target="settings.xml"/><Relationship Id="rId25" Type="http://schemas.openxmlformats.org/officeDocument/2006/relationships/hyperlink" Target="https://www.rbi.org.in/Scripts/NotificationUser.aspx?Id=12301&amp;Mode=0" TargetMode="External"/><Relationship Id="rId46" Type="http://schemas.openxmlformats.org/officeDocument/2006/relationships/hyperlink" Target="https://www.rbi.org.in/Scripts/NotificationUser.aspx?Id=11870&amp;Mode=0" TargetMode="External"/><Relationship Id="rId67" Type="http://schemas.openxmlformats.org/officeDocument/2006/relationships/hyperlink" Target="https://www.rbi.org.in/Scripts/NotificationUser.aspx?Id=12288&amp;Mode=0" TargetMode="External"/><Relationship Id="rId116" Type="http://schemas.openxmlformats.org/officeDocument/2006/relationships/hyperlink" Target="https://www.rbi.org.in/Scripts/NotificationUser.aspx?Id=12273&amp;Mode=0" TargetMode="External"/><Relationship Id="rId137" Type="http://schemas.openxmlformats.org/officeDocument/2006/relationships/hyperlink" Target="https://rbi.org.in/Scripts/BS_PressReleaseDisplay.aspx?prid=51725" TargetMode="External"/><Relationship Id="rId158" Type="http://schemas.openxmlformats.org/officeDocument/2006/relationships/hyperlink" Target="https://www.rbi.org.in/Scripts/NotificationUser.aspx?Id=1145&amp;Mode=0" TargetMode="External"/><Relationship Id="rId20" Type="http://schemas.openxmlformats.org/officeDocument/2006/relationships/hyperlink" Target="https://www.rbi.org.in/Scripts/NotificationUser.aspx?Id=12303&amp;Mode=0" TargetMode="External"/><Relationship Id="rId41" Type="http://schemas.openxmlformats.org/officeDocument/2006/relationships/hyperlink" Target="https://www.rbi.org.in/Scripts/NotificationUser.aspx?Id=12293&amp;Mode=0" TargetMode="External"/><Relationship Id="rId62" Type="http://schemas.openxmlformats.org/officeDocument/2006/relationships/hyperlink" Target="https://www.rbi.org.in/Scripts/NotificationUser.aspx?Id=12288&amp;Mode=0" TargetMode="External"/><Relationship Id="rId83" Type="http://schemas.openxmlformats.org/officeDocument/2006/relationships/hyperlink" Target="https://www.rbi.org.in/Scripts/BS_ViewMasCirculardetails.aspx?id=12185" TargetMode="External"/><Relationship Id="rId88" Type="http://schemas.openxmlformats.org/officeDocument/2006/relationships/hyperlink" Target="https://www.rbi.org.in/Scripts/NotificationUser.aspx?Id=12282&amp;Mode=0" TargetMode="External"/><Relationship Id="rId111" Type="http://schemas.openxmlformats.org/officeDocument/2006/relationships/hyperlink" Target="https://rbidocs.rbi.org.in/rdocs/content/pdfs/12MCBaselIII05042022_A.pdf" TargetMode="External"/><Relationship Id="rId132" Type="http://schemas.openxmlformats.org/officeDocument/2006/relationships/hyperlink" Target="https://www.rbi.org.in/Scripts/NotificationUser.aspx?Id=12263&amp;Mode=0" TargetMode="External"/><Relationship Id="rId153" Type="http://schemas.openxmlformats.org/officeDocument/2006/relationships/hyperlink" Target="https://rbi.org.in/Scripts/BS_PressReleaseDisplay.aspx?prid=53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11827</Words>
  <Characters>67420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2022-08-06T08:23:00Z</dcterms:created>
  <dcterms:modified xsi:type="dcterms:W3CDTF">2022-08-06T08:53:00Z</dcterms:modified>
</cp:coreProperties>
</file>